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E099" w14:textId="77777777" w:rsidR="00DF63DA" w:rsidRPr="006F1A0F" w:rsidRDefault="000169C5" w:rsidP="0001795E">
      <w:pPr>
        <w:spacing w:after="60" w:line="240" w:lineRule="atLeast"/>
        <w:ind w:left="142" w:firstLine="425"/>
        <w:jc w:val="center"/>
        <w:rPr>
          <w:rFonts w:ascii="Times New Roman" w:eastAsia="Times New Roman" w:hAnsi="Times New Roman" w:cs="Times New Roman"/>
          <w:b/>
          <w:bCs/>
          <w:sz w:val="24"/>
          <w:szCs w:val="24"/>
          <w:lang w:val="uk-UA"/>
        </w:rPr>
      </w:pPr>
      <w:r w:rsidRPr="006F1A0F">
        <w:rPr>
          <w:rFonts w:ascii="Times New Roman" w:eastAsia="Times New Roman" w:hAnsi="Times New Roman" w:cs="Times New Roman"/>
          <w:b/>
          <w:bCs/>
          <w:sz w:val="24"/>
          <w:szCs w:val="24"/>
          <w:lang w:val="uk-UA"/>
        </w:rPr>
        <w:t>ІНСТРУКЦІЯ</w:t>
      </w:r>
    </w:p>
    <w:p w14:paraId="6853AC8B" w14:textId="1AA81D3C" w:rsidR="000169C5" w:rsidRPr="006F1A0F" w:rsidRDefault="000169C5" w:rsidP="0001795E">
      <w:pPr>
        <w:spacing w:after="60" w:line="240" w:lineRule="atLeast"/>
        <w:ind w:left="142" w:firstLine="425"/>
        <w:jc w:val="center"/>
        <w:rPr>
          <w:rFonts w:ascii="Times New Roman" w:eastAsia="Times New Roman" w:hAnsi="Times New Roman" w:cs="Times New Roman"/>
          <w:b/>
          <w:bCs/>
          <w:sz w:val="24"/>
          <w:szCs w:val="24"/>
          <w:lang w:val="uk-UA"/>
        </w:rPr>
      </w:pPr>
      <w:r w:rsidRPr="006F1A0F">
        <w:rPr>
          <w:rFonts w:ascii="Times New Roman" w:eastAsia="Times New Roman" w:hAnsi="Times New Roman" w:cs="Times New Roman"/>
          <w:b/>
          <w:bCs/>
          <w:sz w:val="24"/>
          <w:szCs w:val="24"/>
          <w:lang w:val="uk-UA"/>
        </w:rPr>
        <w:t>ЩОДО ПІДГОТОВКИ КОДЕКСУ ПОВЕДІНКИ ПІДРЯДНИКА</w:t>
      </w:r>
    </w:p>
    <w:p w14:paraId="6D0F33EC" w14:textId="77777777" w:rsidR="000169C5" w:rsidRPr="006F1A0F" w:rsidRDefault="000169C5" w:rsidP="0001795E">
      <w:pPr>
        <w:spacing w:after="60" w:line="240" w:lineRule="atLeast"/>
        <w:ind w:left="142" w:firstLine="425"/>
        <w:jc w:val="center"/>
        <w:rPr>
          <w:rFonts w:ascii="Times New Roman" w:eastAsia="Times New Roman" w:hAnsi="Times New Roman" w:cs="Times New Roman"/>
          <w:b/>
          <w:bCs/>
          <w:sz w:val="24"/>
          <w:szCs w:val="24"/>
          <w:lang w:val="uk-UA"/>
        </w:rPr>
      </w:pPr>
    </w:p>
    <w:p w14:paraId="7B47E65B"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b/>
          <w:bCs/>
          <w:sz w:val="24"/>
          <w:szCs w:val="24"/>
          <w:lang w:val="uk-UA"/>
        </w:rPr>
      </w:pPr>
    </w:p>
    <w:p w14:paraId="105D3A8E"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 xml:space="preserve">Ця інструкція складена для допомоги учасникам торгів (Підрядникам будівництва), які приймають участь у тендерах УФСІ . </w:t>
      </w:r>
    </w:p>
    <w:p w14:paraId="639C190C"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При підготовці Кодексу поведінки Учасник торгів керується Мінімальними вимогами до Кодексу поведінки, які містяться у тендерній документації (Розділ VII – Технічні умови). Нижче наведений витяг із Розділ VII – Технічні умови та наведено Приклад Кодексу поведінки, який включає зазначені мінімальні вимоги.</w:t>
      </w:r>
    </w:p>
    <w:p w14:paraId="7679DBCA"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 xml:space="preserve">Підрядник </w:t>
      </w:r>
      <w:r w:rsidRPr="0001795E">
        <w:rPr>
          <w:rFonts w:ascii="Times New Roman" w:eastAsia="Times New Roman" w:hAnsi="Times New Roman" w:cs="Times New Roman"/>
          <w:sz w:val="24"/>
          <w:szCs w:val="24"/>
          <w:lang w:val="uk-UA"/>
        </w:rPr>
        <w:t>може доповнювати  Приклад кодексу додатковими положеннями та редагувати Приклад Кодексу,</w:t>
      </w:r>
      <w:r w:rsidRPr="006F1A0F">
        <w:rPr>
          <w:rFonts w:ascii="Times New Roman" w:eastAsia="Times New Roman" w:hAnsi="Times New Roman" w:cs="Times New Roman"/>
          <w:sz w:val="24"/>
          <w:szCs w:val="24"/>
          <w:lang w:val="uk-UA"/>
        </w:rPr>
        <w:t xml:space="preserve"> за умови дотримання Мінімальних вимог до Кодексу поведінки, які містяться у тендерній документації (Розділ VII – Технічні умови)</w:t>
      </w:r>
    </w:p>
    <w:p w14:paraId="3BF1CCF1"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b/>
          <w:bCs/>
          <w:sz w:val="24"/>
          <w:szCs w:val="24"/>
          <w:lang w:val="uk-UA"/>
        </w:rPr>
      </w:pPr>
    </w:p>
    <w:p w14:paraId="46501D6E" w14:textId="77777777" w:rsidR="000169C5" w:rsidRPr="006F1A0F" w:rsidRDefault="000169C5" w:rsidP="0001795E">
      <w:pPr>
        <w:numPr>
          <w:ilvl w:val="0"/>
          <w:numId w:val="8"/>
        </w:numPr>
        <w:spacing w:after="60" w:line="240" w:lineRule="atLeast"/>
        <w:ind w:left="142" w:firstLine="425"/>
        <w:contextualSpacing/>
        <w:jc w:val="center"/>
        <w:rPr>
          <w:rFonts w:ascii="Times New Roman" w:eastAsia="Times New Roman" w:hAnsi="Times New Roman" w:cs="Times New Roman"/>
          <w:b/>
          <w:smallCaps/>
          <w:sz w:val="24"/>
          <w:szCs w:val="24"/>
          <w:lang w:val="uk-UA"/>
        </w:rPr>
      </w:pPr>
      <w:r w:rsidRPr="006F1A0F">
        <w:rPr>
          <w:rFonts w:ascii="Times New Roman" w:eastAsia="Times New Roman" w:hAnsi="Times New Roman" w:cs="Times New Roman"/>
          <w:b/>
          <w:smallCaps/>
          <w:sz w:val="24"/>
          <w:szCs w:val="24"/>
          <w:lang w:val="uk-UA"/>
        </w:rPr>
        <w:t>Мінімальні вимоги до Кодексу поведінки Учасника торгів</w:t>
      </w:r>
    </w:p>
    <w:p w14:paraId="0A85E3AD" w14:textId="77777777" w:rsidR="000169C5" w:rsidRPr="006F1A0F" w:rsidRDefault="000169C5" w:rsidP="0001795E">
      <w:pPr>
        <w:spacing w:after="60" w:line="240" w:lineRule="atLeast"/>
        <w:ind w:left="142" w:firstLine="425"/>
        <w:jc w:val="center"/>
        <w:rPr>
          <w:rFonts w:ascii="Times New Roman" w:eastAsia="Times New Roman" w:hAnsi="Times New Roman" w:cs="Times New Roman"/>
          <w:b/>
          <w:sz w:val="24"/>
          <w:szCs w:val="24"/>
          <w:lang w:val="uk-UA"/>
        </w:rPr>
      </w:pPr>
      <w:r w:rsidRPr="006F1A0F">
        <w:rPr>
          <w:rFonts w:ascii="Times New Roman" w:eastAsia="Times New Roman" w:hAnsi="Times New Roman" w:cs="Times New Roman"/>
          <w:b/>
          <w:smallCaps/>
          <w:sz w:val="24"/>
          <w:szCs w:val="24"/>
          <w:lang w:val="uk-UA"/>
        </w:rPr>
        <w:t>відповідно до стандартної тендерної документації</w:t>
      </w:r>
    </w:p>
    <w:p w14:paraId="4D7C07BD"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b/>
          <w:sz w:val="24"/>
          <w:szCs w:val="24"/>
          <w:highlight w:val="yellow"/>
          <w:lang w:val="uk-UA"/>
        </w:rPr>
      </w:pPr>
      <w:r w:rsidRPr="006F1A0F">
        <w:rPr>
          <w:rFonts w:ascii="Times New Roman" w:eastAsia="Times New Roman" w:hAnsi="Times New Roman" w:cs="Times New Roman"/>
          <w:b/>
          <w:sz w:val="24"/>
          <w:szCs w:val="24"/>
          <w:lang w:val="uk-UA"/>
        </w:rPr>
        <w:t xml:space="preserve"> (Запит на подання конкурсних заявок</w:t>
      </w:r>
      <w:r w:rsidRPr="006F1A0F">
        <w:rPr>
          <w:rFonts w:ascii="Times New Roman" w:eastAsia="Times New Roman" w:hAnsi="Times New Roman" w:cs="Times New Roman"/>
          <w:b/>
          <w:sz w:val="24"/>
          <w:szCs w:val="24"/>
          <w:lang w:val="ru-RU"/>
        </w:rPr>
        <w:t xml:space="preserve">  </w:t>
      </w:r>
      <w:r w:rsidRPr="006F1A0F">
        <w:rPr>
          <w:rFonts w:ascii="Times New Roman" w:eastAsia="Times New Roman" w:hAnsi="Times New Roman" w:cs="Times New Roman"/>
          <w:b/>
          <w:sz w:val="24"/>
          <w:szCs w:val="24"/>
          <w:lang w:val="uk-UA"/>
        </w:rPr>
        <w:t>у проектах розвитку, що впроваджуються громадами.</w:t>
      </w:r>
      <w:r w:rsidRPr="006F1A0F">
        <w:rPr>
          <w:rFonts w:ascii="Times New Roman" w:eastAsia="Times New Roman" w:hAnsi="Times New Roman" w:cs="Times New Roman"/>
          <w:b/>
          <w:sz w:val="24"/>
          <w:szCs w:val="24"/>
          <w:lang w:val="ru-RU"/>
        </w:rPr>
        <w:t xml:space="preserve"> </w:t>
      </w:r>
      <w:r w:rsidRPr="006F1A0F">
        <w:rPr>
          <w:rFonts w:ascii="Times New Roman" w:eastAsia="Times New Roman" w:hAnsi="Times New Roman" w:cs="Times New Roman"/>
          <w:b/>
          <w:sz w:val="24"/>
          <w:szCs w:val="24"/>
          <w:lang w:val="uk-UA"/>
        </w:rPr>
        <w:t>(ЗПРГ)</w:t>
      </w:r>
      <w:r w:rsidRPr="006F1A0F">
        <w:rPr>
          <w:rFonts w:ascii="Times New Roman" w:eastAsia="Times New Roman" w:hAnsi="Times New Roman" w:cs="Times New Roman"/>
          <w:b/>
          <w:sz w:val="24"/>
          <w:szCs w:val="24"/>
          <w:lang w:val="ru-RU"/>
        </w:rPr>
        <w:t xml:space="preserve"> </w:t>
      </w:r>
      <w:r w:rsidRPr="006F1A0F">
        <w:rPr>
          <w:rFonts w:ascii="Times New Roman" w:eastAsia="Times New Roman" w:hAnsi="Times New Roman" w:cs="Times New Roman"/>
          <w:b/>
          <w:sz w:val="24"/>
          <w:szCs w:val="24"/>
          <w:lang w:val="uk-UA"/>
        </w:rPr>
        <w:t xml:space="preserve"> (Процес торгів з одним конвертом))</w:t>
      </w:r>
    </w:p>
    <w:p w14:paraId="3B3A5E0C" w14:textId="2096186A" w:rsidR="000169C5" w:rsidRPr="006F1A0F" w:rsidRDefault="000169C5" w:rsidP="0001795E">
      <w:pPr>
        <w:tabs>
          <w:tab w:val="left" w:pos="2970"/>
        </w:tabs>
        <w:spacing w:after="120" w:line="240" w:lineRule="auto"/>
        <w:ind w:left="142" w:firstLine="425"/>
        <w:rPr>
          <w:rFonts w:ascii="Times New Roman" w:eastAsia="Times New Roman" w:hAnsi="Times New Roman" w:cs="Times New Roman"/>
          <w:sz w:val="24"/>
          <w:szCs w:val="24"/>
          <w:highlight w:val="yellow"/>
          <w:lang w:val="uk-UA"/>
        </w:rPr>
      </w:pPr>
      <w:r w:rsidRPr="006F1A0F">
        <w:rPr>
          <w:rFonts w:ascii="Times New Roman" w:eastAsia="Times New Roman" w:hAnsi="Times New Roman" w:cs="Times New Roman"/>
          <w:b/>
          <w:smallCaps/>
          <w:sz w:val="28"/>
          <w:szCs w:val="28"/>
          <w:highlight w:val="yellow"/>
          <w:lang w:val="ru-RU"/>
        </w:rPr>
        <w:t xml:space="preserve">    </w:t>
      </w:r>
    </w:p>
    <w:p w14:paraId="4936C1B5"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Задовільний кодекс поведінки буде містити зобов'язання для всього персоналу Підрядника (включаючи субпідрядників і поденних працівників), які належні, як мінімум, для вирішення таких питань. Додаткові зобов'язання можуть бути додані для реагування на конкретні проблеми регіону, місця розташування та галузі проекту або конкретних вимог проекту. Кодекс поведінки повинен містити твердження, що термін "дитина" / "діти" означає будь-яку особу (осіб) у віці до 18 років.</w:t>
      </w:r>
    </w:p>
    <w:p w14:paraId="54B2244E" w14:textId="77777777" w:rsidR="000169C5" w:rsidRPr="006F1A0F" w:rsidRDefault="000169C5" w:rsidP="0001795E">
      <w:p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Питання, які розглядаються, включають:</w:t>
      </w:r>
    </w:p>
    <w:p w14:paraId="51279F39" w14:textId="77777777" w:rsidR="000169C5" w:rsidRPr="006F1A0F" w:rsidRDefault="000169C5" w:rsidP="0001795E">
      <w:pPr>
        <w:numPr>
          <w:ilvl w:val="0"/>
          <w:numId w:val="6"/>
        </w:numPr>
        <w:spacing w:after="0" w:line="240" w:lineRule="auto"/>
        <w:ind w:left="142" w:firstLine="425"/>
        <w:contextualSpacing/>
        <w:jc w:val="both"/>
        <w:rPr>
          <w:rFonts w:ascii="Times New Roman" w:eastAsia="Times New Roman" w:hAnsi="Times New Roman" w:cs="Times New Roman"/>
          <w:bCs/>
          <w:sz w:val="24"/>
          <w:szCs w:val="24"/>
          <w:lang w:val="uk-UA"/>
        </w:rPr>
      </w:pPr>
      <w:bookmarkStart w:id="0" w:name="_Hlk25230250"/>
      <w:r w:rsidRPr="006F1A0F">
        <w:rPr>
          <w:rFonts w:ascii="Times New Roman" w:eastAsia="Times New Roman" w:hAnsi="Times New Roman" w:cs="Times New Roman"/>
          <w:bCs/>
          <w:sz w:val="24"/>
          <w:szCs w:val="24"/>
          <w:lang w:val="uk-UA"/>
        </w:rPr>
        <w:t>Дотримання чинних законів, правил  та нормативів</w:t>
      </w:r>
    </w:p>
    <w:bookmarkEnd w:id="0"/>
    <w:p w14:paraId="78143435" w14:textId="77777777" w:rsidR="000169C5" w:rsidRPr="006F1A0F" w:rsidRDefault="000169C5" w:rsidP="0001795E">
      <w:pPr>
        <w:numPr>
          <w:ilvl w:val="0"/>
          <w:numId w:val="6"/>
        </w:numPr>
        <w:spacing w:after="0" w:line="240" w:lineRule="auto"/>
        <w:ind w:left="142" w:firstLine="425"/>
        <w:contextualSpacing/>
        <w:jc w:val="both"/>
        <w:rPr>
          <w:rFonts w:ascii="Times New Roman" w:eastAsia="Times New Roman" w:hAnsi="Times New Roman" w:cs="Times New Roman"/>
          <w:bCs/>
          <w:sz w:val="24"/>
          <w:szCs w:val="24"/>
          <w:lang w:val="uk-UA"/>
        </w:rPr>
      </w:pPr>
      <w:r w:rsidRPr="006F1A0F">
        <w:rPr>
          <w:rFonts w:ascii="Times New Roman" w:eastAsia="Times New Roman" w:hAnsi="Times New Roman" w:cs="Times New Roman"/>
          <w:bCs/>
          <w:sz w:val="24"/>
          <w:szCs w:val="24"/>
          <w:lang w:val="uk-UA"/>
        </w:rPr>
        <w:t>Дотримання відповідних вимог охорони здоров'я та техніки безпеки для захисту місцевої громади (у тому числі уразливих і неблагополучних груп), персонал Замовника та Керівника проекту, а також персонал Підрядника, включаючи субпідрядників та поденних працівників (включаючи носіння призначених засобів індивідуального захисту, запобігання нещасним випадкам, яких можна уникнути, та обов'язок повідомляти про умови або практику, які становлять загрозу для техніки безпеки або загрожують довкіллю)</w:t>
      </w:r>
    </w:p>
    <w:p w14:paraId="3A23C1AD" w14:textId="77777777" w:rsidR="000169C5" w:rsidRPr="006F1A0F" w:rsidRDefault="000169C5" w:rsidP="0001795E">
      <w:pPr>
        <w:numPr>
          <w:ilvl w:val="0"/>
          <w:numId w:val="6"/>
        </w:numPr>
        <w:spacing w:after="0" w:line="240" w:lineRule="auto"/>
        <w:ind w:left="142" w:firstLine="425"/>
        <w:contextualSpacing/>
        <w:jc w:val="both"/>
        <w:rPr>
          <w:rFonts w:ascii="Times New Roman" w:eastAsia="Times New Roman" w:hAnsi="Times New Roman" w:cs="Times New Roman"/>
          <w:bCs/>
          <w:sz w:val="24"/>
          <w:szCs w:val="24"/>
          <w:lang w:val="uk-UA"/>
        </w:rPr>
      </w:pPr>
      <w:r w:rsidRPr="006F1A0F">
        <w:rPr>
          <w:rFonts w:ascii="Times New Roman" w:eastAsia="Times New Roman" w:hAnsi="Times New Roman" w:cs="Times New Roman"/>
          <w:bCs/>
          <w:sz w:val="24"/>
          <w:szCs w:val="24"/>
          <w:lang w:val="uk-UA"/>
        </w:rPr>
        <w:t>Використання незаконних речовин</w:t>
      </w:r>
    </w:p>
    <w:p w14:paraId="08C9DD65"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Відсутність дискримінації у стосунках з місцевою громадою (включаючи уразливі та неблагополучні групи), персоналом Замовника та Керівника проекту, а також персоналом Підрядника, включаючи субпідрядників та поденних працівників (наприклад, на основі сімейного статусу, етнічної приналежності, раси, статі, релігії, мови, сімейного стану, віку, інвалідності (фізична та психічна), сексуальної орієнтації, гендерної ідентичності, політичних переконань або соціального, громадянського статусу чи стану здоров'я)</w:t>
      </w:r>
    </w:p>
    <w:p w14:paraId="433F3379"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Взаємодія з місцевою громадою (</w:t>
      </w:r>
      <w:proofErr w:type="spellStart"/>
      <w:r w:rsidRPr="006F1A0F">
        <w:rPr>
          <w:rFonts w:ascii="Times New Roman" w:eastAsia="Times New Roman" w:hAnsi="Times New Roman" w:cs="Times New Roman"/>
          <w:sz w:val="24"/>
          <w:szCs w:val="24"/>
          <w:lang w:val="uk-UA"/>
        </w:rPr>
        <w:t>ами</w:t>
      </w:r>
      <w:proofErr w:type="spellEnd"/>
      <w:r w:rsidRPr="006F1A0F">
        <w:rPr>
          <w:rFonts w:ascii="Times New Roman" w:eastAsia="Times New Roman" w:hAnsi="Times New Roman" w:cs="Times New Roman"/>
          <w:sz w:val="24"/>
          <w:szCs w:val="24"/>
          <w:lang w:val="uk-UA"/>
        </w:rPr>
        <w:t>), членами місцевої (</w:t>
      </w:r>
      <w:proofErr w:type="spellStart"/>
      <w:r w:rsidRPr="006F1A0F">
        <w:rPr>
          <w:rFonts w:ascii="Times New Roman" w:eastAsia="Times New Roman" w:hAnsi="Times New Roman" w:cs="Times New Roman"/>
          <w:sz w:val="24"/>
          <w:szCs w:val="24"/>
          <w:lang w:val="uk-UA"/>
        </w:rPr>
        <w:t>их</w:t>
      </w:r>
      <w:proofErr w:type="spellEnd"/>
      <w:r w:rsidRPr="006F1A0F">
        <w:rPr>
          <w:rFonts w:ascii="Times New Roman" w:eastAsia="Times New Roman" w:hAnsi="Times New Roman" w:cs="Times New Roman"/>
          <w:sz w:val="24"/>
          <w:szCs w:val="24"/>
          <w:lang w:val="uk-UA"/>
        </w:rPr>
        <w:t>) громади та з будь-якими постраждалими особами (наприклад, ставлення поваги, у тому числі до їхньої культури та традицій)</w:t>
      </w:r>
    </w:p>
    <w:p w14:paraId="6AA6833E"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 xml:space="preserve">Сексуальні домагання (наприклад, заборона використання мови або поведінки, зокрема, стосовно жінок та/або дітей, що є неприйнятним, </w:t>
      </w:r>
      <w:proofErr w:type="spellStart"/>
      <w:r w:rsidRPr="006F1A0F">
        <w:rPr>
          <w:rFonts w:ascii="Times New Roman" w:eastAsia="Times New Roman" w:hAnsi="Times New Roman" w:cs="Times New Roman"/>
          <w:sz w:val="24"/>
          <w:szCs w:val="24"/>
          <w:lang w:val="uk-UA"/>
        </w:rPr>
        <w:t>турбуючим</w:t>
      </w:r>
      <w:proofErr w:type="spellEnd"/>
      <w:r w:rsidRPr="006F1A0F">
        <w:rPr>
          <w:rFonts w:ascii="Times New Roman" w:eastAsia="Times New Roman" w:hAnsi="Times New Roman" w:cs="Times New Roman"/>
          <w:sz w:val="24"/>
          <w:szCs w:val="24"/>
          <w:lang w:val="uk-UA"/>
        </w:rPr>
        <w:t>, образливим, сексуально провокаційним, принизливим або культурно неприйнятним)</w:t>
      </w:r>
    </w:p>
    <w:p w14:paraId="1105DD02" w14:textId="77777777" w:rsidR="000169C5" w:rsidRPr="006F1A0F" w:rsidRDefault="000169C5" w:rsidP="0001795E">
      <w:pPr>
        <w:numPr>
          <w:ilvl w:val="0"/>
          <w:numId w:val="6"/>
        </w:numPr>
        <w:spacing w:after="60" w:line="240" w:lineRule="atLeast"/>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lastRenderedPageBreak/>
        <w:t xml:space="preserve">Насильство, включаючи сексуальне та/або </w:t>
      </w:r>
      <w:proofErr w:type="spellStart"/>
      <w:r w:rsidRPr="006F1A0F">
        <w:rPr>
          <w:rFonts w:ascii="Times New Roman" w:eastAsia="Times New Roman" w:hAnsi="Times New Roman" w:cs="Times New Roman"/>
          <w:sz w:val="24"/>
          <w:szCs w:val="24"/>
          <w:lang w:val="uk-UA"/>
        </w:rPr>
        <w:t>гендерно</w:t>
      </w:r>
      <w:proofErr w:type="spellEnd"/>
      <w:r w:rsidRPr="006F1A0F">
        <w:rPr>
          <w:rFonts w:ascii="Times New Roman" w:eastAsia="Times New Roman" w:hAnsi="Times New Roman" w:cs="Times New Roman"/>
          <w:sz w:val="24"/>
          <w:szCs w:val="24"/>
          <w:lang w:val="uk-UA"/>
        </w:rPr>
        <w:t>-мотивоване насильство (наприклад, дії, які завдають фізичної, психічної або сексуальної шкоди або страждання, загрози таких дій, примус та позбавлення волі)</w:t>
      </w:r>
    </w:p>
    <w:p w14:paraId="28FC5664"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Експлуатація, включаючи сексуальну експлуатацію та зловживання (наприклад, заборона обміну грошей, зайнятість, товари або послуги за секс, включаючи сексуальні переваги або інші форми принизливої, принижуючої поведінки, експлуатаційної поведінки або зловживання владою)</w:t>
      </w:r>
    </w:p>
    <w:p w14:paraId="738B0ACC"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Захист дітей (у тому числі заборони на сексуальну діяльність або зловживання, або іншої неприйнятної поведінки щодо дітей, обмеження взаємодії з дітьми та забезпечення їхньої безпеки в районах проекту)</w:t>
      </w:r>
    </w:p>
    <w:p w14:paraId="382A3776"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Вимоги до санітарії (наприклад, забезпечити працівників можливістю використання спеціальних санітарних засобів, надані їх роботодавцем, а не відкритими зонами)</w:t>
      </w:r>
    </w:p>
    <w:p w14:paraId="469E6D61"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Уникнення конфліктів інтересів (так, щоб переваги, договори або робота, або будь-яке преференційне ставлення або послуги не надавалися будь-якій особі, з якою є фінансові, сімейні чи особисті зв'язки)</w:t>
      </w:r>
    </w:p>
    <w:p w14:paraId="46D6EEF7"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Дотримання розумних робочих інструкцій (включаючи екологічні та соціальні норми)</w:t>
      </w:r>
    </w:p>
    <w:p w14:paraId="3E9A5392"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Захист та належне використання майна (наприклад, заборона крадіжок, недбалості або відходів)</w:t>
      </w:r>
    </w:p>
    <w:p w14:paraId="4184D9B6" w14:textId="77777777" w:rsidR="000169C5" w:rsidRPr="006F1A0F" w:rsidRDefault="000169C5" w:rsidP="0001795E">
      <w:pPr>
        <w:numPr>
          <w:ilvl w:val="0"/>
          <w:numId w:val="6"/>
        </w:numPr>
        <w:spacing w:after="60" w:line="240" w:lineRule="atLeast"/>
        <w:ind w:left="142" w:firstLine="425"/>
        <w:contextualSpacing/>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Обов'язок повідомляти про порушення цього Кодексу</w:t>
      </w:r>
    </w:p>
    <w:p w14:paraId="20A0F482" w14:textId="2E7D7DA7" w:rsidR="000169C5" w:rsidRPr="006F1A0F" w:rsidRDefault="000169C5" w:rsidP="0001795E">
      <w:pPr>
        <w:widowControl w:val="0"/>
        <w:numPr>
          <w:ilvl w:val="0"/>
          <w:numId w:val="6"/>
        </w:numPr>
        <w:spacing w:after="60" w:line="240" w:lineRule="atLeast"/>
        <w:ind w:left="142" w:firstLine="425"/>
        <w:jc w:val="both"/>
        <w:rPr>
          <w:rFonts w:ascii="Times New Roman" w:eastAsia="Calibri" w:hAnsi="Times New Roman" w:cs="Times New Roman"/>
          <w:sz w:val="24"/>
          <w:szCs w:val="24"/>
          <w:lang w:val="uk-UA"/>
        </w:rPr>
      </w:pPr>
      <w:r w:rsidRPr="006F1A0F">
        <w:rPr>
          <w:rFonts w:ascii="Times New Roman" w:eastAsia="Calibri" w:hAnsi="Times New Roman" w:cs="Times New Roman"/>
          <w:sz w:val="24"/>
          <w:szCs w:val="24"/>
          <w:lang w:val="uk-UA"/>
        </w:rPr>
        <w:t>Відсутність покарання працівників, які повідомляють про порушення Кодексу, якщо таке повідомлення зроблено добросовісно.</w:t>
      </w:r>
    </w:p>
    <w:p w14:paraId="1F4A3A99" w14:textId="77777777" w:rsidR="00D237E7" w:rsidRPr="006F1A0F" w:rsidRDefault="00D237E7" w:rsidP="0001795E">
      <w:pPr>
        <w:widowControl w:val="0"/>
        <w:numPr>
          <w:ilvl w:val="0"/>
          <w:numId w:val="6"/>
        </w:numPr>
        <w:spacing w:after="60" w:line="240" w:lineRule="atLeast"/>
        <w:ind w:left="142" w:firstLine="425"/>
        <w:jc w:val="both"/>
        <w:rPr>
          <w:rFonts w:ascii="Times New Roman" w:eastAsia="Calibri" w:hAnsi="Times New Roman" w:cs="Times New Roman"/>
          <w:sz w:val="24"/>
          <w:szCs w:val="24"/>
          <w:lang w:val="uk-UA"/>
        </w:rPr>
      </w:pPr>
    </w:p>
    <w:p w14:paraId="59D0ED73" w14:textId="50C4922C" w:rsidR="000169C5" w:rsidRPr="006F1A0F" w:rsidRDefault="000169C5" w:rsidP="0001795E">
      <w:pPr>
        <w:spacing w:before="240" w:after="60" w:line="252" w:lineRule="auto"/>
        <w:ind w:left="142" w:firstLine="425"/>
        <w:contextualSpacing/>
        <w:jc w:val="both"/>
        <w:rPr>
          <w:rFonts w:ascii="Times New Roman" w:eastAsia="Times New Roman" w:hAnsi="Times New Roman" w:cs="Times New Roman"/>
          <w:bCs/>
          <w:sz w:val="24"/>
          <w:szCs w:val="24"/>
          <w:lang w:val="uk-UA"/>
        </w:rPr>
      </w:pPr>
      <w:r w:rsidRPr="006F1A0F">
        <w:rPr>
          <w:rFonts w:ascii="Times New Roman" w:eastAsia="Times New Roman" w:hAnsi="Times New Roman" w:cs="Times New Roman"/>
          <w:bCs/>
          <w:sz w:val="24"/>
          <w:szCs w:val="24"/>
          <w:lang w:val="uk-UA"/>
        </w:rPr>
        <w:t>Кодекс поведінки повинен бути написаний простою мовою і підписаний кожним працівником, щоб показати, що він:</w:t>
      </w:r>
    </w:p>
    <w:p w14:paraId="3F3246E5" w14:textId="77777777" w:rsidR="000169C5" w:rsidRPr="006F1A0F" w:rsidRDefault="000169C5" w:rsidP="0001795E">
      <w:pPr>
        <w:numPr>
          <w:ilvl w:val="0"/>
          <w:numId w:val="7"/>
        </w:numPr>
        <w:spacing w:after="0" w:line="252" w:lineRule="auto"/>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отримав екземпляр Кодексу;</w:t>
      </w:r>
    </w:p>
    <w:p w14:paraId="06D68B2C" w14:textId="77777777" w:rsidR="000169C5" w:rsidRPr="006F1A0F" w:rsidRDefault="000169C5" w:rsidP="0001795E">
      <w:pPr>
        <w:numPr>
          <w:ilvl w:val="0"/>
          <w:numId w:val="7"/>
        </w:numPr>
        <w:spacing w:after="0" w:line="252" w:lineRule="auto"/>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Кодекс був пояснений йому;</w:t>
      </w:r>
    </w:p>
    <w:p w14:paraId="6FA5D180" w14:textId="77777777" w:rsidR="000169C5" w:rsidRPr="0001795E" w:rsidRDefault="000169C5" w:rsidP="0001795E">
      <w:pPr>
        <w:numPr>
          <w:ilvl w:val="0"/>
          <w:numId w:val="7"/>
        </w:numPr>
        <w:spacing w:after="0" w:line="252" w:lineRule="auto"/>
        <w:ind w:left="142" w:firstLine="425"/>
        <w:contextualSpacing/>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визнав, що дотримання цього Кодексу поведінки є умовою прийняття на роботу; і</w:t>
      </w:r>
    </w:p>
    <w:p w14:paraId="47631662" w14:textId="77777777" w:rsidR="000169C5" w:rsidRPr="0001795E" w:rsidRDefault="000169C5" w:rsidP="0001795E">
      <w:pPr>
        <w:numPr>
          <w:ilvl w:val="0"/>
          <w:numId w:val="7"/>
        </w:numPr>
        <w:spacing w:after="0" w:line="252" w:lineRule="auto"/>
        <w:ind w:left="142" w:firstLine="425"/>
        <w:contextualSpacing/>
        <w:jc w:val="both"/>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зрозумів, що порушення Кодексу можуть призвести до серйозних наслідків, включаючи звільнення або звернення до правоохоронних органів.</w:t>
      </w:r>
    </w:p>
    <w:p w14:paraId="70884BC1" w14:textId="78D2823F" w:rsidR="00E109CB" w:rsidRPr="006F1A0F" w:rsidRDefault="00E109CB" w:rsidP="0001795E">
      <w:pPr>
        <w:pStyle w:val="ListParagraph"/>
        <w:ind w:left="142" w:firstLine="425"/>
        <w:rPr>
          <w:color w:val="000000"/>
          <w:lang w:val="uk-UA"/>
        </w:rPr>
      </w:pPr>
      <w:r w:rsidRPr="0001795E">
        <w:rPr>
          <w:color w:val="000000"/>
          <w:lang w:val="uk-UA"/>
        </w:rPr>
        <w:t xml:space="preserve">Підрядник має забезпечити, щоб </w:t>
      </w:r>
      <w:r w:rsidRPr="0001795E">
        <w:rPr>
          <w:bCs/>
          <w:color w:val="000000"/>
          <w:lang w:val="uk-UA"/>
        </w:rPr>
        <w:t>Кодекс поведінки перед початком будівельних робіт на був</w:t>
      </w:r>
      <w:r w:rsidRPr="0001795E">
        <w:rPr>
          <w:color w:val="000000"/>
          <w:lang w:val="uk-UA"/>
        </w:rPr>
        <w:t xml:space="preserve"> підписаний персоналом Підрядника, задіяним на відповідному об’єкті. </w:t>
      </w:r>
    </w:p>
    <w:p w14:paraId="3F5E833F" w14:textId="77777777" w:rsidR="000169C5" w:rsidRPr="006F1A0F" w:rsidRDefault="000169C5" w:rsidP="0001795E">
      <w:pPr>
        <w:spacing w:after="0" w:line="252" w:lineRule="auto"/>
        <w:ind w:left="142" w:firstLine="425"/>
        <w:contextualSpacing/>
        <w:jc w:val="both"/>
        <w:rPr>
          <w:rFonts w:ascii="Times New Roman" w:eastAsia="Times New Roman" w:hAnsi="Times New Roman" w:cs="Times New Roman"/>
          <w:sz w:val="24"/>
          <w:szCs w:val="24"/>
          <w:lang w:val="uk-UA"/>
        </w:rPr>
      </w:pPr>
    </w:p>
    <w:p w14:paraId="27DDD2F7" w14:textId="77777777" w:rsidR="000169C5" w:rsidRPr="006F1A0F" w:rsidRDefault="000169C5" w:rsidP="0001795E">
      <w:pPr>
        <w:spacing w:after="120" w:line="240" w:lineRule="auto"/>
        <w:ind w:left="142" w:firstLine="425"/>
        <w:jc w:val="both"/>
        <w:rPr>
          <w:rFonts w:ascii="Times New Roman" w:eastAsia="Times New Roman" w:hAnsi="Times New Roman" w:cs="Times New Roman"/>
          <w:i/>
          <w:color w:val="000000" w:themeColor="text1"/>
          <w:sz w:val="24"/>
          <w:szCs w:val="24"/>
          <w:lang w:val="uk-UA"/>
        </w:rPr>
      </w:pPr>
      <w:r w:rsidRPr="006F1A0F">
        <w:rPr>
          <w:rFonts w:ascii="Times New Roman" w:eastAsia="Times New Roman" w:hAnsi="Times New Roman" w:cs="Times New Roman"/>
          <w:i/>
          <w:color w:val="000000" w:themeColor="text1"/>
          <w:sz w:val="24"/>
          <w:szCs w:val="24"/>
          <w:lang w:val="uk-UA"/>
        </w:rPr>
        <w:t>Копія кодексу повинна розміщуватися в місці, легко доступному для громади та людей, які мають відношення від проекту. Він повинен бути наданий мовами, зрозумілими для місцевої громади, персоналу Підрядника (у тому числі субпідряднику та поденним робітникам), персоналу Замовника та Керівника проекту, а також особам, які мають відношення до проекту.</w:t>
      </w:r>
    </w:p>
    <w:p w14:paraId="49346E62" w14:textId="77777777" w:rsidR="000169C5" w:rsidRPr="006F1A0F" w:rsidRDefault="000169C5" w:rsidP="0001795E">
      <w:pPr>
        <w:spacing w:after="0" w:line="240" w:lineRule="auto"/>
        <w:ind w:left="142" w:firstLine="425"/>
        <w:jc w:val="center"/>
        <w:rPr>
          <w:rFonts w:ascii="Times New Roman" w:eastAsia="Times New Roman" w:hAnsi="Times New Roman" w:cs="Times New Roman"/>
          <w:b/>
          <w:bCs/>
          <w:sz w:val="28"/>
          <w:szCs w:val="28"/>
          <w:lang w:val="uk-UA"/>
        </w:rPr>
      </w:pPr>
    </w:p>
    <w:p w14:paraId="51739460" w14:textId="61908FEC" w:rsidR="006F1A0F" w:rsidRPr="0001795E" w:rsidRDefault="006F1A0F" w:rsidP="0001795E">
      <w:pPr>
        <w:ind w:left="142" w:firstLine="425"/>
        <w:rPr>
          <w:rFonts w:ascii="Times New Roman" w:eastAsia="Times New Roman" w:hAnsi="Times New Roman" w:cs="Times New Roman"/>
          <w:b/>
          <w:bCs/>
          <w:sz w:val="28"/>
          <w:szCs w:val="28"/>
          <w:lang w:val="uk-UA"/>
        </w:rPr>
      </w:pPr>
      <w:r w:rsidRPr="0001795E">
        <w:rPr>
          <w:rFonts w:ascii="Times New Roman" w:eastAsia="Times New Roman" w:hAnsi="Times New Roman" w:cs="Times New Roman"/>
          <w:b/>
          <w:bCs/>
          <w:sz w:val="28"/>
          <w:szCs w:val="28"/>
          <w:lang w:val="uk-UA"/>
        </w:rPr>
        <w:br w:type="page"/>
      </w:r>
    </w:p>
    <w:p w14:paraId="7E4FE2B5" w14:textId="3EDBB581" w:rsidR="000940A8" w:rsidRPr="0001795E" w:rsidRDefault="00216FAD" w:rsidP="0001795E">
      <w:pPr>
        <w:ind w:left="142" w:firstLine="425"/>
        <w:rPr>
          <w:b/>
          <w:bCs/>
          <w:sz w:val="28"/>
          <w:szCs w:val="28"/>
          <w:lang w:val="uk-UA"/>
        </w:rPr>
      </w:pPr>
      <w:r w:rsidRPr="0001795E">
        <w:rPr>
          <w:rFonts w:ascii="Times New Roman" w:hAnsi="Times New Roman" w:cs="Times New Roman"/>
          <w:b/>
          <w:bCs/>
          <w:sz w:val="28"/>
          <w:szCs w:val="28"/>
          <w:lang w:val="uk-UA"/>
        </w:rPr>
        <w:lastRenderedPageBreak/>
        <w:t>Приклад Кодексу поведінки Учасника торгів</w:t>
      </w:r>
    </w:p>
    <w:p w14:paraId="54E57EA1" w14:textId="3825A9A1" w:rsidR="000F354A" w:rsidRPr="0001795E" w:rsidRDefault="000940A8" w:rsidP="0001795E">
      <w:pPr>
        <w:spacing w:after="0" w:line="240" w:lineRule="auto"/>
        <w:ind w:left="142" w:firstLine="425"/>
        <w:rPr>
          <w:rFonts w:ascii="Times New Roman" w:eastAsia="Times New Roman" w:hAnsi="Times New Roman" w:cs="Times New Roman"/>
          <w:bCs/>
          <w:sz w:val="24"/>
          <w:szCs w:val="24"/>
          <w:lang w:val="uk-UA"/>
        </w:rPr>
      </w:pPr>
      <w:r w:rsidRPr="006F1A0F">
        <w:rPr>
          <w:rFonts w:ascii="Times New Roman" w:hAnsi="Times New Roman" w:cs="Times New Roman"/>
          <w:lang w:val="uk-UA"/>
        </w:rPr>
        <w:t>ТОВ «</w:t>
      </w:r>
      <w:r w:rsidR="008F6F84" w:rsidRPr="006F1A0F">
        <w:rPr>
          <w:rFonts w:ascii="Times New Roman" w:hAnsi="Times New Roman" w:cs="Times New Roman"/>
          <w:lang w:val="uk-UA"/>
        </w:rPr>
        <w:t>___</w:t>
      </w:r>
      <w:r w:rsidRPr="006F1A0F">
        <w:rPr>
          <w:rFonts w:ascii="Times New Roman" w:hAnsi="Times New Roman" w:cs="Times New Roman"/>
          <w:lang w:val="uk-UA"/>
        </w:rPr>
        <w:t>»</w:t>
      </w:r>
      <w:r w:rsidR="000F354A" w:rsidRPr="006F1A0F">
        <w:rPr>
          <w:rFonts w:ascii="Times New Roman" w:hAnsi="Times New Roman" w:cs="Times New Roman"/>
          <w:lang w:val="uk-UA"/>
        </w:rPr>
        <w:t xml:space="preserve"> (</w:t>
      </w:r>
      <w:r w:rsidR="00AC7458" w:rsidRPr="006F1A0F">
        <w:rPr>
          <w:rFonts w:ascii="Times New Roman" w:hAnsi="Times New Roman" w:cs="Times New Roman"/>
          <w:lang w:val="uk-UA"/>
        </w:rPr>
        <w:t>на</w:t>
      </w:r>
      <w:r w:rsidR="000F354A" w:rsidRPr="006F1A0F">
        <w:rPr>
          <w:rFonts w:ascii="Times New Roman" w:hAnsi="Times New Roman" w:cs="Times New Roman"/>
          <w:lang w:val="uk-UA"/>
        </w:rPr>
        <w:t>далі Підрядник)</w:t>
      </w:r>
      <w:r w:rsidRPr="006F1A0F">
        <w:rPr>
          <w:rFonts w:ascii="Times New Roman" w:hAnsi="Times New Roman" w:cs="Times New Roman"/>
          <w:lang w:val="uk-UA"/>
        </w:rPr>
        <w:t xml:space="preserve"> гаран</w:t>
      </w:r>
      <w:r w:rsidR="000F354A" w:rsidRPr="006F1A0F">
        <w:rPr>
          <w:rFonts w:ascii="Times New Roman" w:hAnsi="Times New Roman" w:cs="Times New Roman"/>
          <w:lang w:val="uk-UA"/>
        </w:rPr>
        <w:t xml:space="preserve">тує, що наведена нижче форма </w:t>
      </w:r>
      <w:r w:rsidR="000F354A" w:rsidRPr="006F1A0F">
        <w:rPr>
          <w:rFonts w:ascii="Times New Roman" w:eastAsia="Times New Roman" w:hAnsi="Times New Roman" w:cs="Times New Roman"/>
          <w:bCs/>
          <w:sz w:val="24"/>
          <w:szCs w:val="24"/>
          <w:lang w:val="uk-UA"/>
        </w:rPr>
        <w:t>Кодексу поведінки</w:t>
      </w:r>
      <w:r w:rsidR="000F354A" w:rsidRPr="0001795E">
        <w:rPr>
          <w:rFonts w:ascii="Times New Roman" w:eastAsia="Times New Roman" w:hAnsi="Times New Roman" w:cs="Times New Roman"/>
          <w:bCs/>
          <w:sz w:val="24"/>
          <w:szCs w:val="24"/>
          <w:lang w:val="uk-UA"/>
        </w:rPr>
        <w:t xml:space="preserve"> перед початком будівельних робіт</w:t>
      </w:r>
      <w:r w:rsidR="008F6F84" w:rsidRPr="0001795E">
        <w:rPr>
          <w:rFonts w:ascii="Times New Roman" w:eastAsia="Times New Roman" w:hAnsi="Times New Roman" w:cs="Times New Roman"/>
          <w:bCs/>
          <w:sz w:val="24"/>
          <w:szCs w:val="24"/>
          <w:lang w:val="uk-UA"/>
        </w:rPr>
        <w:t xml:space="preserve"> на</w:t>
      </w:r>
      <w:r w:rsidR="00AC7458" w:rsidRPr="0001795E">
        <w:rPr>
          <w:rFonts w:ascii="Times New Roman" w:eastAsia="Times New Roman" w:hAnsi="Times New Roman" w:cs="Times New Roman"/>
          <w:bCs/>
          <w:sz w:val="24"/>
          <w:szCs w:val="24"/>
          <w:lang w:val="uk-UA"/>
        </w:rPr>
        <w:t xml:space="preserve"> відповідному</w:t>
      </w:r>
      <w:r w:rsidR="008F6F84" w:rsidRPr="0001795E">
        <w:rPr>
          <w:rFonts w:ascii="Times New Roman" w:eastAsia="Times New Roman" w:hAnsi="Times New Roman" w:cs="Times New Roman"/>
          <w:bCs/>
          <w:sz w:val="24"/>
          <w:szCs w:val="24"/>
          <w:lang w:val="uk-UA"/>
        </w:rPr>
        <w:t xml:space="preserve"> об’єкті</w:t>
      </w:r>
      <w:r w:rsidR="000F354A" w:rsidRPr="0001795E">
        <w:rPr>
          <w:rFonts w:ascii="Times New Roman" w:eastAsia="Times New Roman" w:hAnsi="Times New Roman" w:cs="Times New Roman"/>
          <w:bCs/>
          <w:sz w:val="24"/>
          <w:szCs w:val="24"/>
          <w:lang w:val="uk-UA"/>
        </w:rPr>
        <w:t xml:space="preserve"> буде:</w:t>
      </w:r>
    </w:p>
    <w:p w14:paraId="308B5822" w14:textId="1F15543A" w:rsidR="00563A44" w:rsidRPr="0001795E" w:rsidRDefault="000F354A" w:rsidP="0001795E">
      <w:pPr>
        <w:spacing w:after="0" w:line="240" w:lineRule="auto"/>
        <w:ind w:left="142" w:firstLine="425"/>
        <w:rPr>
          <w:rFonts w:ascii="Times New Roman" w:eastAsia="Times New Roman" w:hAnsi="Times New Roman" w:cs="Times New Roman"/>
          <w:bCs/>
          <w:sz w:val="24"/>
          <w:szCs w:val="24"/>
          <w:lang w:val="uk-UA"/>
        </w:rPr>
      </w:pPr>
      <w:r w:rsidRPr="0001795E">
        <w:rPr>
          <w:rFonts w:ascii="Times New Roman" w:eastAsia="Times New Roman" w:hAnsi="Times New Roman" w:cs="Times New Roman"/>
          <w:bCs/>
          <w:sz w:val="24"/>
          <w:szCs w:val="24"/>
          <w:lang w:val="uk-UA"/>
        </w:rPr>
        <w:t>- підписана ключовим персоналом Підрядника, задіяним на</w:t>
      </w:r>
      <w:r w:rsidR="008F6F84" w:rsidRPr="0001795E">
        <w:rPr>
          <w:rFonts w:ascii="Times New Roman" w:eastAsia="Times New Roman" w:hAnsi="Times New Roman" w:cs="Times New Roman"/>
          <w:bCs/>
          <w:sz w:val="24"/>
          <w:szCs w:val="24"/>
          <w:lang w:val="uk-UA"/>
        </w:rPr>
        <w:t xml:space="preserve"> відповідному</w:t>
      </w:r>
      <w:r w:rsidRPr="0001795E">
        <w:rPr>
          <w:rFonts w:ascii="Times New Roman" w:eastAsia="Times New Roman" w:hAnsi="Times New Roman" w:cs="Times New Roman"/>
          <w:bCs/>
          <w:sz w:val="24"/>
          <w:szCs w:val="24"/>
          <w:lang w:val="uk-UA"/>
        </w:rPr>
        <w:t xml:space="preserve"> об’єкті;</w:t>
      </w:r>
    </w:p>
    <w:p w14:paraId="39190291" w14:textId="77B65932" w:rsidR="000F354A" w:rsidRPr="006F1A0F" w:rsidRDefault="000F354A" w:rsidP="0001795E">
      <w:pPr>
        <w:spacing w:after="0" w:line="240" w:lineRule="auto"/>
        <w:ind w:left="142" w:firstLine="425"/>
        <w:rPr>
          <w:rFonts w:ascii="Times New Roman" w:eastAsia="Times New Roman" w:hAnsi="Times New Roman" w:cs="Times New Roman"/>
          <w:bCs/>
          <w:sz w:val="24"/>
          <w:szCs w:val="24"/>
          <w:lang w:val="uk-UA"/>
        </w:rPr>
      </w:pPr>
      <w:r w:rsidRPr="0001795E">
        <w:rPr>
          <w:rFonts w:ascii="Times New Roman" w:eastAsia="Times New Roman" w:hAnsi="Times New Roman" w:cs="Times New Roman"/>
          <w:bCs/>
          <w:sz w:val="24"/>
          <w:szCs w:val="24"/>
          <w:lang w:val="uk-UA"/>
        </w:rPr>
        <w:t>- розміщуватися в легко</w:t>
      </w:r>
      <w:r w:rsidR="004603AB" w:rsidRPr="0001795E">
        <w:rPr>
          <w:rFonts w:ascii="Times New Roman" w:eastAsia="Times New Roman" w:hAnsi="Times New Roman" w:cs="Times New Roman"/>
          <w:bCs/>
          <w:sz w:val="24"/>
          <w:szCs w:val="24"/>
          <w:lang w:val="uk-UA"/>
        </w:rPr>
        <w:t xml:space="preserve"> </w:t>
      </w:r>
      <w:r w:rsidR="00D80728" w:rsidRPr="0001795E">
        <w:rPr>
          <w:rFonts w:ascii="Times New Roman" w:eastAsia="Times New Roman" w:hAnsi="Times New Roman" w:cs="Times New Roman"/>
          <w:bCs/>
          <w:sz w:val="24"/>
          <w:szCs w:val="24"/>
          <w:lang w:val="uk-UA"/>
        </w:rPr>
        <w:t>доступному для місцевої громади та інших осіб місці, біля будівельного майданчика.</w:t>
      </w:r>
    </w:p>
    <w:p w14:paraId="6E7F61AC" w14:textId="77777777" w:rsidR="008F6F84" w:rsidRPr="0001795E" w:rsidRDefault="008F6F84" w:rsidP="0001795E">
      <w:pPr>
        <w:spacing w:after="0" w:line="240" w:lineRule="auto"/>
        <w:ind w:left="142" w:firstLine="425"/>
        <w:rPr>
          <w:rFonts w:ascii="Times New Roman" w:eastAsia="Times New Roman" w:hAnsi="Times New Roman" w:cs="Times New Roman"/>
          <w:bCs/>
          <w:sz w:val="24"/>
          <w:szCs w:val="24"/>
          <w:lang w:val="uk-UA"/>
        </w:rPr>
      </w:pPr>
    </w:p>
    <w:tbl>
      <w:tblPr>
        <w:tblStyle w:val="TableGrid"/>
        <w:tblW w:w="0" w:type="auto"/>
        <w:tblLook w:val="04A0" w:firstRow="1" w:lastRow="0" w:firstColumn="1" w:lastColumn="0" w:noHBand="0" w:noVBand="1"/>
      </w:tblPr>
      <w:tblGrid>
        <w:gridCol w:w="1005"/>
        <w:gridCol w:w="3325"/>
        <w:gridCol w:w="2046"/>
        <w:gridCol w:w="1478"/>
        <w:gridCol w:w="1491"/>
      </w:tblGrid>
      <w:tr w:rsidR="00766EB8" w:rsidRPr="0001795E" w14:paraId="7453CEAA" w14:textId="77777777" w:rsidTr="00766EB8">
        <w:tc>
          <w:tcPr>
            <w:tcW w:w="9345" w:type="dxa"/>
            <w:gridSpan w:val="5"/>
          </w:tcPr>
          <w:p w14:paraId="3CCEAF0A" w14:textId="77777777" w:rsidR="00766EB8" w:rsidRPr="006F1A0F" w:rsidRDefault="00766EB8" w:rsidP="0001795E">
            <w:pPr>
              <w:pStyle w:val="ListParagraph"/>
              <w:numPr>
                <w:ilvl w:val="0"/>
                <w:numId w:val="1"/>
              </w:numPr>
              <w:ind w:left="142" w:firstLine="425"/>
              <w:rPr>
                <w:b/>
                <w:bCs/>
                <w:lang w:val="uk-UA"/>
              </w:rPr>
            </w:pPr>
            <w:r w:rsidRPr="006F1A0F">
              <w:rPr>
                <w:b/>
                <w:bCs/>
                <w:lang w:val="uk-UA"/>
              </w:rPr>
              <w:t>Загальні положення</w:t>
            </w:r>
          </w:p>
          <w:p w14:paraId="601DDA7D" w14:textId="77777777" w:rsidR="00766EB8" w:rsidRPr="0001795E" w:rsidRDefault="00766EB8" w:rsidP="0001795E">
            <w:pPr>
              <w:ind w:left="142" w:firstLine="425"/>
              <w:rPr>
                <w:rFonts w:ascii="Times New Roman" w:hAnsi="Times New Roman" w:cs="Times New Roman"/>
              </w:rPr>
            </w:pPr>
          </w:p>
        </w:tc>
      </w:tr>
      <w:tr w:rsidR="00766EB8" w:rsidRPr="0001795E" w14:paraId="4A3CF1AD" w14:textId="77777777" w:rsidTr="00766EB8">
        <w:tc>
          <w:tcPr>
            <w:tcW w:w="9345" w:type="dxa"/>
            <w:gridSpan w:val="5"/>
          </w:tcPr>
          <w:p w14:paraId="4E2C471E" w14:textId="7F1E6CFD" w:rsidR="00766EB8" w:rsidRPr="0001795E" w:rsidRDefault="00766EB8" w:rsidP="0001795E">
            <w:pPr>
              <w:ind w:left="142" w:firstLine="425"/>
              <w:jc w:val="both"/>
              <w:rPr>
                <w:rFonts w:ascii="Times New Roman" w:eastAsia="Times New Roman" w:hAnsi="Times New Roman" w:cs="Times New Roman"/>
                <w:i/>
                <w:iCs/>
                <w:sz w:val="24"/>
                <w:szCs w:val="24"/>
                <w:lang w:val="uk-UA"/>
              </w:rPr>
            </w:pPr>
            <w:r w:rsidRPr="006F1A0F">
              <w:rPr>
                <w:rFonts w:ascii="Times New Roman" w:eastAsia="Times New Roman" w:hAnsi="Times New Roman" w:cs="Times New Roman"/>
                <w:sz w:val="24"/>
                <w:szCs w:val="24"/>
                <w:lang w:val="uk-UA"/>
              </w:rPr>
              <w:t>Цей Кодекс поведінки (надалі, - Кодекс) розроблено для того, щоб надати замовникам будівництва, членам місцевих громад, місцевій владі, а також працівникам (</w:t>
            </w:r>
            <w:r w:rsidRPr="006F1A0F">
              <w:rPr>
                <w:rFonts w:ascii="Times New Roman" w:eastAsia="Times New Roman" w:hAnsi="Times New Roman" w:cs="Times New Roman"/>
                <w:i/>
                <w:iCs/>
                <w:sz w:val="24"/>
                <w:szCs w:val="24"/>
                <w:lang w:val="uk-UA"/>
              </w:rPr>
              <w:t>Назва Підрядника</w:t>
            </w:r>
            <w:r w:rsidRPr="006F1A0F">
              <w:rPr>
                <w:rFonts w:ascii="Times New Roman" w:eastAsia="Times New Roman" w:hAnsi="Times New Roman" w:cs="Times New Roman"/>
                <w:sz w:val="24"/>
                <w:szCs w:val="24"/>
                <w:lang w:val="uk-UA"/>
              </w:rPr>
              <w:t>)</w:t>
            </w:r>
            <w:r w:rsidR="00F36234" w:rsidRPr="006F1A0F">
              <w:rPr>
                <w:rFonts w:ascii="Times New Roman" w:eastAsia="Times New Roman" w:hAnsi="Times New Roman" w:cs="Times New Roman"/>
                <w:sz w:val="24"/>
                <w:szCs w:val="24"/>
              </w:rPr>
              <w:t xml:space="preserve"> </w:t>
            </w:r>
            <w:r w:rsidR="00F36234" w:rsidRPr="006F1A0F">
              <w:rPr>
                <w:rFonts w:ascii="Times New Roman" w:eastAsia="Times New Roman" w:hAnsi="Times New Roman" w:cs="Times New Roman"/>
                <w:sz w:val="24"/>
                <w:szCs w:val="24"/>
                <w:lang w:val="uk-UA"/>
              </w:rPr>
              <w:t>(далі Підрядник)</w:t>
            </w:r>
            <w:r w:rsidRPr="006F1A0F">
              <w:rPr>
                <w:rFonts w:ascii="Times New Roman" w:eastAsia="Times New Roman" w:hAnsi="Times New Roman" w:cs="Times New Roman"/>
                <w:sz w:val="24"/>
                <w:szCs w:val="24"/>
                <w:lang w:val="uk-UA"/>
              </w:rPr>
              <w:t>, включаючи субпідрядників і поденних працівників інформацію, поради та</w:t>
            </w:r>
            <w:r w:rsidRPr="006F1A0F">
              <w:rPr>
                <w:rFonts w:ascii="Times New Roman" w:eastAsia="Times New Roman" w:hAnsi="Times New Roman" w:cs="Times New Roman"/>
                <w:i/>
                <w:iCs/>
                <w:sz w:val="24"/>
                <w:szCs w:val="24"/>
                <w:lang w:val="uk-UA"/>
              </w:rPr>
              <w:t xml:space="preserve"> </w:t>
            </w:r>
            <w:r w:rsidRPr="006F1A0F">
              <w:rPr>
                <w:rFonts w:ascii="Times New Roman" w:eastAsia="Times New Roman" w:hAnsi="Times New Roman" w:cs="Times New Roman"/>
                <w:sz w:val="24"/>
                <w:szCs w:val="24"/>
                <w:lang w:val="uk-UA"/>
              </w:rPr>
              <w:t>настанови яких дотримується</w:t>
            </w:r>
            <w:r w:rsidR="00F36234" w:rsidRPr="006F1A0F">
              <w:rPr>
                <w:rFonts w:ascii="Times New Roman" w:eastAsia="Times New Roman" w:hAnsi="Times New Roman" w:cs="Times New Roman"/>
                <w:sz w:val="24"/>
                <w:szCs w:val="24"/>
                <w:lang w:val="uk-UA"/>
              </w:rPr>
              <w:t xml:space="preserve"> Підрядник</w:t>
            </w:r>
            <w:r w:rsidRPr="0001795E">
              <w:rPr>
                <w:rFonts w:ascii="Times New Roman" w:eastAsia="Times New Roman" w:hAnsi="Times New Roman" w:cs="Times New Roman"/>
                <w:sz w:val="24"/>
                <w:szCs w:val="24"/>
                <w:lang w:val="uk-UA"/>
              </w:rPr>
              <w:t>, щодо питань захисту навколишнього середовища, охорони здоров’я, охорони праці, соціальної безпеки та етичних норм поведінки персоналу</w:t>
            </w:r>
            <w:r w:rsidR="000940A8" w:rsidRPr="0001795E">
              <w:rPr>
                <w:rFonts w:ascii="Times New Roman" w:eastAsia="Times New Roman" w:hAnsi="Times New Roman" w:cs="Times New Roman"/>
                <w:sz w:val="24"/>
                <w:szCs w:val="24"/>
                <w:lang w:val="uk-UA"/>
              </w:rPr>
              <w:t xml:space="preserve"> Підрядника</w:t>
            </w:r>
            <w:bookmarkStart w:id="1" w:name="_Hlk25231036"/>
            <w:r w:rsidRPr="0001795E">
              <w:rPr>
                <w:rFonts w:ascii="Times New Roman" w:eastAsia="Times New Roman" w:hAnsi="Times New Roman" w:cs="Times New Roman"/>
                <w:i/>
                <w:iCs/>
                <w:sz w:val="24"/>
                <w:szCs w:val="24"/>
                <w:lang w:val="uk-UA"/>
              </w:rPr>
              <w:t>.</w:t>
            </w:r>
            <w:bookmarkEnd w:id="1"/>
          </w:p>
          <w:p w14:paraId="13B13161" w14:textId="5242AB43" w:rsidR="00766EB8" w:rsidRPr="0001795E" w:rsidRDefault="00766EB8" w:rsidP="0001795E">
            <w:pPr>
              <w:ind w:left="142" w:firstLine="425"/>
              <w:jc w:val="both"/>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В процесі підготовки, виконання та здачі будівельних робіт</w:t>
            </w:r>
            <w:r w:rsidR="000940A8" w:rsidRPr="0001795E">
              <w:rPr>
                <w:rFonts w:ascii="Times New Roman" w:eastAsia="Times New Roman" w:hAnsi="Times New Roman" w:cs="Times New Roman"/>
                <w:sz w:val="24"/>
                <w:szCs w:val="24"/>
                <w:lang w:val="uk-UA"/>
              </w:rPr>
              <w:t xml:space="preserve"> Підрядник</w:t>
            </w:r>
            <w:r w:rsidRPr="0001795E">
              <w:rPr>
                <w:rFonts w:ascii="Times New Roman" w:eastAsia="Times New Roman" w:hAnsi="Times New Roman" w:cs="Times New Roman"/>
                <w:sz w:val="24"/>
                <w:szCs w:val="24"/>
                <w:lang w:val="uk-UA"/>
              </w:rPr>
              <w:t xml:space="preserve"> буде:</w:t>
            </w:r>
          </w:p>
          <w:p w14:paraId="0FC003CC" w14:textId="77777777" w:rsidR="00766EB8" w:rsidRPr="0001795E" w:rsidRDefault="00766EB8" w:rsidP="0001795E">
            <w:pPr>
              <w:ind w:left="142" w:firstLine="425"/>
              <w:jc w:val="both"/>
              <w:rPr>
                <w:rFonts w:ascii="Times New Roman" w:eastAsia="Times New Roman" w:hAnsi="Times New Roman" w:cs="Times New Roman"/>
                <w:i/>
                <w:iCs/>
                <w:sz w:val="24"/>
                <w:szCs w:val="24"/>
                <w:lang w:val="uk-UA"/>
              </w:rPr>
            </w:pPr>
            <w:r w:rsidRPr="0001795E">
              <w:rPr>
                <w:rFonts w:ascii="Times New Roman" w:eastAsia="Times New Roman" w:hAnsi="Times New Roman" w:cs="Times New Roman"/>
                <w:i/>
                <w:iCs/>
                <w:sz w:val="24"/>
                <w:szCs w:val="24"/>
                <w:lang w:val="uk-UA"/>
              </w:rPr>
              <w:t>(a) дотримуватися та забезпечувати, щоб усі субпідрядники та основні постачальники, стосовно основних предметів постачання, відповідали міжнародним екологічним та трудовим стандартам, відповідали чинному законодавству та нормам України,  стосовно виконання укладених контрактів, а також вимог основних конвенцій Міжнародної організації Організація праці (МОП) та міжнародних екологічних договорів та;</w:t>
            </w:r>
          </w:p>
          <w:p w14:paraId="545E6D5E" w14:textId="77777777" w:rsidR="00766EB8" w:rsidRPr="0001795E" w:rsidRDefault="00766EB8" w:rsidP="0001795E">
            <w:pPr>
              <w:ind w:left="142" w:firstLine="425"/>
              <w:jc w:val="both"/>
              <w:rPr>
                <w:rFonts w:ascii="Times New Roman" w:eastAsia="Times New Roman" w:hAnsi="Times New Roman" w:cs="Times New Roman"/>
                <w:i/>
                <w:iCs/>
                <w:sz w:val="24"/>
                <w:szCs w:val="24"/>
                <w:lang w:val="uk-UA"/>
              </w:rPr>
            </w:pPr>
            <w:r w:rsidRPr="0001795E">
              <w:rPr>
                <w:rFonts w:ascii="Times New Roman" w:eastAsia="Times New Roman" w:hAnsi="Times New Roman" w:cs="Times New Roman"/>
                <w:i/>
                <w:iCs/>
                <w:sz w:val="24"/>
                <w:szCs w:val="24"/>
                <w:lang w:val="uk-UA"/>
              </w:rPr>
              <w:t>(b) впроваджувати будь-які заходи щодо зменшення екологічних та соціальних ризиків, визначених  в Плані Екологічного та Соціального Менеджменту (ПЕСМ), в частині, в якій ці заходи відповідають Договору та здійснювати заходи для запобігання сексуальній експлуатації, жорстокому поводженню та ґендерному насильству.</w:t>
            </w:r>
          </w:p>
          <w:p w14:paraId="45969B32" w14:textId="77777777" w:rsidR="00766EB8" w:rsidRPr="0001795E" w:rsidRDefault="00766EB8" w:rsidP="0001795E">
            <w:pPr>
              <w:ind w:left="142" w:firstLine="425"/>
              <w:jc w:val="both"/>
              <w:rPr>
                <w:rFonts w:ascii="Times New Roman" w:eastAsia="Times New Roman" w:hAnsi="Times New Roman" w:cs="Times New Roman"/>
                <w:sz w:val="24"/>
                <w:szCs w:val="24"/>
                <w:lang w:val="uk-UA"/>
              </w:rPr>
            </w:pPr>
          </w:p>
          <w:p w14:paraId="3DCCA428" w14:textId="77777777" w:rsidR="00766EB8" w:rsidRPr="0001795E" w:rsidRDefault="00766EB8" w:rsidP="0001795E">
            <w:pPr>
              <w:ind w:left="142" w:firstLine="425"/>
              <w:jc w:val="both"/>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Цей Кодекс затверджений наказом директора (</w:t>
            </w:r>
            <w:r w:rsidRPr="0001795E">
              <w:rPr>
                <w:rFonts w:ascii="Times New Roman" w:eastAsia="Times New Roman" w:hAnsi="Times New Roman" w:cs="Times New Roman"/>
                <w:i/>
                <w:iCs/>
                <w:sz w:val="24"/>
                <w:szCs w:val="24"/>
                <w:lang w:val="uk-UA"/>
              </w:rPr>
              <w:t xml:space="preserve">Назва Підрядника) </w:t>
            </w:r>
            <w:r w:rsidRPr="0001795E">
              <w:rPr>
                <w:rFonts w:ascii="Times New Roman" w:eastAsia="Times New Roman" w:hAnsi="Times New Roman" w:cs="Times New Roman"/>
                <w:sz w:val="24"/>
                <w:szCs w:val="24"/>
                <w:lang w:val="uk-UA"/>
              </w:rPr>
              <w:t xml:space="preserve"> № ____ від _________.</w:t>
            </w:r>
          </w:p>
          <w:p w14:paraId="6EC267F2" w14:textId="108678B6" w:rsidR="00766EB8" w:rsidRPr="0001795E" w:rsidRDefault="00BE7772" w:rsidP="0001795E">
            <w:pPr>
              <w:ind w:left="142" w:firstLine="425"/>
              <w:jc w:val="both"/>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Ключовий п</w:t>
            </w:r>
            <w:r w:rsidR="00766EB8" w:rsidRPr="0001795E">
              <w:rPr>
                <w:rFonts w:ascii="Times New Roman" w:eastAsia="Times New Roman" w:hAnsi="Times New Roman" w:cs="Times New Roman"/>
                <w:sz w:val="24"/>
                <w:szCs w:val="24"/>
                <w:lang w:val="uk-UA"/>
              </w:rPr>
              <w:t>ерсонал</w:t>
            </w:r>
            <w:r w:rsidR="000940A8" w:rsidRPr="0001795E">
              <w:rPr>
                <w:rFonts w:ascii="Times New Roman" w:eastAsia="Times New Roman" w:hAnsi="Times New Roman" w:cs="Times New Roman"/>
                <w:sz w:val="24"/>
                <w:szCs w:val="24"/>
                <w:lang w:val="uk-UA"/>
              </w:rPr>
              <w:t xml:space="preserve"> Підрядника</w:t>
            </w:r>
            <w:r w:rsidR="00766EB8" w:rsidRPr="0001795E">
              <w:rPr>
                <w:rFonts w:ascii="Times New Roman" w:eastAsia="Times New Roman" w:hAnsi="Times New Roman" w:cs="Times New Roman"/>
                <w:sz w:val="24"/>
                <w:szCs w:val="24"/>
                <w:lang w:val="uk-UA"/>
              </w:rPr>
              <w:t xml:space="preserve"> ознайомлений із Кодексом та підтвердив особистими підписами свій намір дотримуватись положень, які містить Кодекс</w:t>
            </w:r>
            <w:r w:rsidRPr="0001795E">
              <w:rPr>
                <w:rFonts w:ascii="Times New Roman" w:eastAsia="Times New Roman" w:hAnsi="Times New Roman" w:cs="Times New Roman"/>
                <w:sz w:val="24"/>
                <w:szCs w:val="24"/>
                <w:lang w:val="uk-UA"/>
              </w:rPr>
              <w:t xml:space="preserve"> та </w:t>
            </w:r>
            <w:r w:rsidR="000940A8" w:rsidRPr="0001795E">
              <w:rPr>
                <w:rFonts w:ascii="Times New Roman" w:eastAsia="Times New Roman" w:hAnsi="Times New Roman" w:cs="Times New Roman"/>
                <w:sz w:val="24"/>
                <w:szCs w:val="24"/>
                <w:lang w:val="uk-UA"/>
              </w:rPr>
              <w:t>з</w:t>
            </w:r>
            <w:r w:rsidRPr="0001795E">
              <w:rPr>
                <w:rFonts w:ascii="Times New Roman" w:eastAsia="Times New Roman" w:hAnsi="Times New Roman" w:cs="Times New Roman"/>
                <w:sz w:val="24"/>
                <w:szCs w:val="24"/>
                <w:lang w:val="uk-UA"/>
              </w:rPr>
              <w:t>обов’язується ознайомити з Кодексом всіх працівників будівельного майданчика</w:t>
            </w:r>
            <w:r w:rsidR="00766EB8" w:rsidRPr="0001795E">
              <w:rPr>
                <w:rFonts w:ascii="Times New Roman" w:eastAsia="Times New Roman" w:hAnsi="Times New Roman" w:cs="Times New Roman"/>
                <w:sz w:val="24"/>
                <w:szCs w:val="24"/>
                <w:lang w:val="uk-UA"/>
              </w:rPr>
              <w:t>.</w:t>
            </w:r>
          </w:p>
          <w:p w14:paraId="331AB1D1" w14:textId="77777777" w:rsidR="00766EB8" w:rsidRPr="0001795E" w:rsidRDefault="00766EB8" w:rsidP="0001795E">
            <w:pPr>
              <w:ind w:left="142" w:firstLine="425"/>
              <w:jc w:val="both"/>
              <w:rPr>
                <w:rFonts w:ascii="Times New Roman" w:eastAsia="Times New Roman" w:hAnsi="Times New Roman" w:cs="Times New Roman"/>
                <w:sz w:val="24"/>
                <w:szCs w:val="24"/>
                <w:lang w:val="uk-UA"/>
              </w:rPr>
            </w:pPr>
          </w:p>
          <w:p w14:paraId="22245EFE" w14:textId="77777777" w:rsidR="00766EB8" w:rsidRPr="0001795E" w:rsidRDefault="00766EB8" w:rsidP="0001795E">
            <w:pPr>
              <w:ind w:left="142" w:firstLine="425"/>
              <w:jc w:val="both"/>
              <w:rPr>
                <w:rFonts w:ascii="Times New Roman" w:eastAsia="Times New Roman" w:hAnsi="Times New Roman" w:cs="Times New Roman"/>
                <w:sz w:val="24"/>
                <w:szCs w:val="24"/>
                <w:lang w:val="uk-UA"/>
              </w:rPr>
            </w:pPr>
          </w:p>
          <w:p w14:paraId="685CF55C" w14:textId="337A9C2B" w:rsidR="00766EB8" w:rsidRPr="0001795E" w:rsidRDefault="00766EB8" w:rsidP="0001795E">
            <w:pPr>
              <w:ind w:left="142" w:firstLine="425"/>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 xml:space="preserve">Директор </w:t>
            </w:r>
            <w:r w:rsidRPr="0001795E">
              <w:rPr>
                <w:rFonts w:ascii="Times New Roman" w:eastAsia="Times New Roman" w:hAnsi="Times New Roman" w:cs="Times New Roman"/>
                <w:i/>
                <w:iCs/>
                <w:sz w:val="24"/>
                <w:szCs w:val="24"/>
                <w:lang w:val="uk-UA"/>
              </w:rPr>
              <w:t>(Назва Підрядника)</w:t>
            </w:r>
            <w:r w:rsidRPr="0001795E">
              <w:rPr>
                <w:rFonts w:ascii="Times New Roman" w:eastAsia="Times New Roman" w:hAnsi="Times New Roman" w:cs="Times New Roman"/>
                <w:sz w:val="24"/>
                <w:szCs w:val="24"/>
                <w:lang w:val="uk-UA"/>
              </w:rPr>
              <w:t>: ______________________________________</w:t>
            </w:r>
          </w:p>
          <w:p w14:paraId="513DC860" w14:textId="77777777" w:rsidR="00766EB8" w:rsidRPr="0001795E" w:rsidRDefault="00766EB8" w:rsidP="0001795E">
            <w:pPr>
              <w:ind w:left="142" w:firstLine="425"/>
              <w:jc w:val="both"/>
              <w:rPr>
                <w:rFonts w:ascii="Times New Roman" w:hAnsi="Times New Roman" w:cs="Times New Roman"/>
              </w:rPr>
            </w:pPr>
          </w:p>
        </w:tc>
      </w:tr>
      <w:tr w:rsidR="00766EB8" w:rsidRPr="0001795E" w14:paraId="2D73DE41" w14:textId="77777777" w:rsidTr="00766EB8">
        <w:tc>
          <w:tcPr>
            <w:tcW w:w="9345" w:type="dxa"/>
            <w:gridSpan w:val="5"/>
          </w:tcPr>
          <w:p w14:paraId="1F105BC8" w14:textId="77777777" w:rsidR="00766EB8" w:rsidRPr="006F1A0F" w:rsidRDefault="00766EB8" w:rsidP="0001795E">
            <w:pPr>
              <w:pStyle w:val="ListParagraph"/>
              <w:numPr>
                <w:ilvl w:val="0"/>
                <w:numId w:val="1"/>
              </w:numPr>
              <w:ind w:left="142" w:firstLine="425"/>
              <w:rPr>
                <w:b/>
                <w:bCs/>
                <w:lang w:val="uk-UA"/>
              </w:rPr>
            </w:pPr>
            <w:r w:rsidRPr="006F1A0F">
              <w:rPr>
                <w:b/>
                <w:bCs/>
                <w:lang w:val="uk-UA"/>
              </w:rPr>
              <w:t>Дотримання чинних законів, правил  та нормативів</w:t>
            </w:r>
          </w:p>
          <w:p w14:paraId="519DCAA4" w14:textId="77777777" w:rsidR="00766EB8" w:rsidRPr="0001795E" w:rsidRDefault="00766EB8" w:rsidP="0001795E">
            <w:pPr>
              <w:ind w:left="142" w:firstLine="425"/>
              <w:rPr>
                <w:rFonts w:ascii="Times New Roman" w:hAnsi="Times New Roman" w:cs="Times New Roman"/>
                <w:lang w:val="uk-UA"/>
              </w:rPr>
            </w:pPr>
          </w:p>
        </w:tc>
      </w:tr>
      <w:tr w:rsidR="00766EB8" w:rsidRPr="0001795E" w14:paraId="0E24A891" w14:textId="77777777" w:rsidTr="00766EB8">
        <w:tc>
          <w:tcPr>
            <w:tcW w:w="9345" w:type="dxa"/>
            <w:gridSpan w:val="5"/>
          </w:tcPr>
          <w:p w14:paraId="512233F0" w14:textId="20EA301B" w:rsidR="00766EB8" w:rsidRPr="0001795E" w:rsidRDefault="008F6F84" w:rsidP="0001795E">
            <w:pPr>
              <w:ind w:left="142" w:firstLine="425"/>
              <w:jc w:val="both"/>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Підрядник</w:t>
            </w:r>
            <w:r w:rsidRPr="006F1A0F">
              <w:rPr>
                <w:rFonts w:ascii="Times New Roman" w:eastAsia="Times New Roman" w:hAnsi="Times New Roman" w:cs="Times New Roman"/>
                <w:i/>
                <w:iCs/>
                <w:sz w:val="24"/>
                <w:szCs w:val="24"/>
                <w:lang w:val="uk-UA"/>
              </w:rPr>
              <w:t xml:space="preserve"> </w:t>
            </w:r>
            <w:r w:rsidR="00766EB8" w:rsidRPr="0001795E">
              <w:rPr>
                <w:rFonts w:ascii="Times New Roman" w:eastAsia="Times New Roman" w:hAnsi="Times New Roman" w:cs="Times New Roman"/>
                <w:sz w:val="24"/>
                <w:szCs w:val="24"/>
                <w:lang w:val="uk-UA"/>
              </w:rPr>
              <w:t>здійснює свою діяльність згідно наступних відповідних стандартів, законодавства і керівних принципів:</w:t>
            </w:r>
          </w:p>
          <w:p w14:paraId="282F4D3D" w14:textId="4C29C854" w:rsidR="00766EB8" w:rsidRPr="0001795E" w:rsidRDefault="00766EB8" w:rsidP="0001795E">
            <w:pPr>
              <w:pStyle w:val="ListParagraph"/>
              <w:numPr>
                <w:ilvl w:val="0"/>
                <w:numId w:val="15"/>
              </w:numPr>
              <w:ind w:left="166" w:firstLine="0"/>
              <w:jc w:val="both"/>
              <w:rPr>
                <w:lang w:val="uk-UA"/>
              </w:rPr>
            </w:pPr>
            <w:r w:rsidRPr="0001795E">
              <w:rPr>
                <w:lang w:val="uk-UA"/>
              </w:rPr>
              <w:t xml:space="preserve">законів та нормативних актів України (включно із вимогами Наказу №1050 </w:t>
            </w:r>
            <w:proofErr w:type="spellStart"/>
            <w:r w:rsidRPr="0001795E">
              <w:rPr>
                <w:lang w:val="uk-UA"/>
              </w:rPr>
              <w:t>Мінсоцполітики</w:t>
            </w:r>
            <w:proofErr w:type="spellEnd"/>
            <w:r w:rsidRPr="0001795E">
              <w:rPr>
                <w:lang w:val="uk-UA"/>
              </w:rPr>
              <w:t xml:space="preserve"> від 23.06.2017 «Про затвердження Мінімальних вимог з охорони праці на тимчасових або мобільних будівельних майданчиках) та міжнародного права, включаючи конвенції та договори, які ратифіковані Україною та стосуються питань охорони навколишнього середовища, охорони здоров’я та безпеки праці, етичних та соціальних аспектів діяльності </w:t>
            </w:r>
            <w:bookmarkStart w:id="2" w:name="_Hlk25239206"/>
            <w:r w:rsidR="008F6F84" w:rsidRPr="0001795E">
              <w:rPr>
                <w:lang w:val="uk-UA"/>
              </w:rPr>
              <w:t xml:space="preserve">Підрядника </w:t>
            </w:r>
            <w:bookmarkEnd w:id="2"/>
            <w:r w:rsidRPr="0001795E">
              <w:rPr>
                <w:lang w:val="uk-UA"/>
              </w:rPr>
              <w:t>при виконання функцій Підрядника будівництва.</w:t>
            </w:r>
          </w:p>
          <w:p w14:paraId="39B2E8D7" w14:textId="12165E98" w:rsidR="00766EB8" w:rsidRPr="0001795E" w:rsidRDefault="00766EB8" w:rsidP="0001795E">
            <w:pPr>
              <w:pStyle w:val="ListParagraph"/>
              <w:numPr>
                <w:ilvl w:val="0"/>
                <w:numId w:val="15"/>
              </w:numPr>
              <w:ind w:left="166" w:firstLine="0"/>
              <w:jc w:val="both"/>
              <w:rPr>
                <w:lang w:val="uk-UA"/>
              </w:rPr>
            </w:pPr>
            <w:r w:rsidRPr="0001795E">
              <w:rPr>
                <w:lang w:val="uk-UA"/>
              </w:rPr>
              <w:t xml:space="preserve">положень Регламенту діяльності (Посібника) УФСІ, які стосуються Проекту (Окремої Проектної та фінансової угоди від 19 квітня 2018 р., зокрема п. ІІ.2, а також, відповідно до вимог Регламенту (Посібника) діяльності УФСІ, викладених, у Розділі 6 Політики та процедури оцінки екологічного та соціального впливу </w:t>
            </w:r>
            <w:proofErr w:type="spellStart"/>
            <w:r w:rsidRPr="0001795E">
              <w:rPr>
                <w:lang w:val="uk-UA"/>
              </w:rPr>
              <w:t>субпроектів</w:t>
            </w:r>
            <w:proofErr w:type="spellEnd"/>
            <w:r w:rsidRPr="0001795E">
              <w:rPr>
                <w:lang w:val="uk-UA"/>
              </w:rPr>
              <w:t>)</w:t>
            </w:r>
          </w:p>
          <w:p w14:paraId="22B74E8A" w14:textId="7F37AF60" w:rsidR="00766EB8" w:rsidRPr="0001795E" w:rsidRDefault="00766EB8" w:rsidP="0001795E">
            <w:pPr>
              <w:pStyle w:val="ListParagraph"/>
              <w:numPr>
                <w:ilvl w:val="0"/>
                <w:numId w:val="15"/>
              </w:numPr>
              <w:ind w:left="166" w:firstLine="0"/>
              <w:jc w:val="both"/>
              <w:rPr>
                <w:lang w:val="uk-UA"/>
              </w:rPr>
            </w:pPr>
            <w:r w:rsidRPr="0001795E">
              <w:rPr>
                <w:lang w:val="uk-UA"/>
              </w:rPr>
              <w:lastRenderedPageBreak/>
              <w:t>Екологічних та соціальних політик Світового банку https://www.worldbank.org/en/projects-operations/environmental-and-social-policies#safeguards</w:t>
            </w:r>
            <w:r w:rsidR="006F1A0F" w:rsidRPr="0001795E">
              <w:rPr>
                <w:lang w:val="uk-UA"/>
              </w:rPr>
              <w:t>;</w:t>
            </w:r>
          </w:p>
          <w:p w14:paraId="6D4CD846" w14:textId="165004FE" w:rsidR="00766EB8" w:rsidRPr="0001795E" w:rsidRDefault="00766EB8" w:rsidP="0001795E">
            <w:pPr>
              <w:pStyle w:val="ListParagraph"/>
              <w:numPr>
                <w:ilvl w:val="0"/>
                <w:numId w:val="15"/>
              </w:numPr>
              <w:ind w:left="166" w:firstLine="0"/>
              <w:jc w:val="both"/>
              <w:rPr>
                <w:lang w:val="uk-UA"/>
              </w:rPr>
            </w:pPr>
            <w:r w:rsidRPr="0001795E">
              <w:rPr>
                <w:lang w:val="uk-UA"/>
              </w:rPr>
              <w:t>Настанови Групи Світового банку щодо охорони навколишнього середовища, здоров'я та безпеки (EHS), включаючи:</w:t>
            </w:r>
          </w:p>
          <w:p w14:paraId="3811F4F5" w14:textId="16DC355B" w:rsidR="00766EB8" w:rsidRPr="0001795E" w:rsidRDefault="00766EB8" w:rsidP="0001795E">
            <w:pPr>
              <w:pStyle w:val="ListParagraph"/>
              <w:numPr>
                <w:ilvl w:val="0"/>
                <w:numId w:val="17"/>
              </w:numPr>
              <w:ind w:left="733" w:firstLine="0"/>
              <w:jc w:val="both"/>
              <w:rPr>
                <w:lang w:val="uk-UA"/>
              </w:rPr>
            </w:pPr>
            <w:r w:rsidRPr="0001795E">
              <w:rPr>
                <w:lang w:val="uk-UA"/>
              </w:rPr>
              <w:t>Загальну настанову з охорони навколишнього середовища, здоров’я та праці (http://www.ifc.org/ehsguidelines);</w:t>
            </w:r>
          </w:p>
          <w:p w14:paraId="23EF3AD7" w14:textId="6D57D61F" w:rsidR="00766EB8" w:rsidRPr="0001795E" w:rsidRDefault="00766EB8" w:rsidP="0001795E">
            <w:pPr>
              <w:pStyle w:val="ListParagraph"/>
              <w:numPr>
                <w:ilvl w:val="0"/>
                <w:numId w:val="17"/>
              </w:numPr>
              <w:ind w:left="733" w:firstLine="0"/>
              <w:jc w:val="both"/>
              <w:rPr>
                <w:lang w:val="uk-UA"/>
              </w:rPr>
            </w:pPr>
            <w:r w:rsidRPr="0001795E">
              <w:rPr>
                <w:lang w:val="uk-UA"/>
              </w:rPr>
              <w:t xml:space="preserve">Фундаментальні конвенції Міжнародної організації праці (МОП), https://www.ilo.org/global/standards/introduction-to-international-labour- </w:t>
            </w:r>
            <w:proofErr w:type="spellStart"/>
            <w:r w:rsidRPr="0001795E">
              <w:rPr>
                <w:lang w:val="uk-UA"/>
              </w:rPr>
              <w:t>standards</w:t>
            </w:r>
            <w:proofErr w:type="spellEnd"/>
            <w:r w:rsidRPr="0001795E">
              <w:rPr>
                <w:lang w:val="uk-UA"/>
              </w:rPr>
              <w:t>/</w:t>
            </w:r>
            <w:proofErr w:type="spellStart"/>
            <w:r w:rsidRPr="0001795E">
              <w:rPr>
                <w:lang w:val="uk-UA"/>
              </w:rPr>
              <w:t>conventions-and-recommendations</w:t>
            </w:r>
            <w:proofErr w:type="spellEnd"/>
            <w:r w:rsidRPr="0001795E">
              <w:rPr>
                <w:lang w:val="uk-UA"/>
              </w:rPr>
              <w:t>/</w:t>
            </w:r>
            <w:proofErr w:type="spellStart"/>
            <w:r w:rsidRPr="0001795E">
              <w:rPr>
                <w:lang w:val="uk-UA"/>
              </w:rPr>
              <w:t>lang</w:t>
            </w:r>
            <w:proofErr w:type="spellEnd"/>
            <w:r w:rsidRPr="0001795E">
              <w:rPr>
                <w:lang w:val="uk-UA"/>
              </w:rPr>
              <w:t>--</w:t>
            </w:r>
            <w:proofErr w:type="spellStart"/>
            <w:r w:rsidRPr="0001795E">
              <w:rPr>
                <w:lang w:val="uk-UA"/>
              </w:rPr>
              <w:t>en</w:t>
            </w:r>
            <w:proofErr w:type="spellEnd"/>
            <w:r w:rsidRPr="0001795E">
              <w:rPr>
                <w:lang w:val="uk-UA"/>
              </w:rPr>
              <w:t>/index.htm;</w:t>
            </w:r>
          </w:p>
          <w:p w14:paraId="2BB109CC" w14:textId="687126A3" w:rsidR="00766EB8" w:rsidRPr="0001795E" w:rsidRDefault="00766EB8" w:rsidP="0001795E">
            <w:pPr>
              <w:pStyle w:val="ListParagraph"/>
              <w:numPr>
                <w:ilvl w:val="0"/>
                <w:numId w:val="17"/>
              </w:numPr>
              <w:ind w:left="733" w:firstLine="0"/>
              <w:jc w:val="both"/>
              <w:rPr>
                <w:lang w:val="uk-UA"/>
              </w:rPr>
            </w:pPr>
            <w:r w:rsidRPr="0001795E">
              <w:rPr>
                <w:lang w:val="uk-UA"/>
              </w:rPr>
              <w:t>Директива ЕС для Майданчиків будівництва (92/57/ЕЕС), https://eur-lex.europa.eu/legal-content/EN/ALL/ ?</w:t>
            </w:r>
            <w:proofErr w:type="spellStart"/>
            <w:r w:rsidRPr="0001795E">
              <w:rPr>
                <w:lang w:val="uk-UA"/>
              </w:rPr>
              <w:t>uri</w:t>
            </w:r>
            <w:proofErr w:type="spellEnd"/>
            <w:r w:rsidRPr="0001795E">
              <w:rPr>
                <w:lang w:val="uk-UA"/>
              </w:rPr>
              <w:t xml:space="preserve"> =celex%3A31992L0057.</w:t>
            </w:r>
          </w:p>
          <w:p w14:paraId="2103140B" w14:textId="77777777" w:rsidR="00766EB8" w:rsidRPr="0001795E" w:rsidRDefault="00766EB8" w:rsidP="0001795E">
            <w:pPr>
              <w:ind w:left="142" w:firstLine="425"/>
              <w:contextualSpacing/>
              <w:rPr>
                <w:rFonts w:ascii="Times New Roman" w:hAnsi="Times New Roman" w:cs="Times New Roman"/>
                <w:lang w:val="uk-UA"/>
              </w:rPr>
            </w:pPr>
          </w:p>
        </w:tc>
      </w:tr>
      <w:tr w:rsidR="00766EB8" w:rsidRPr="0001795E" w14:paraId="16C434FA" w14:textId="77777777" w:rsidTr="00766EB8">
        <w:tc>
          <w:tcPr>
            <w:tcW w:w="9345" w:type="dxa"/>
            <w:gridSpan w:val="5"/>
          </w:tcPr>
          <w:p w14:paraId="2F63697D" w14:textId="68C8750D" w:rsidR="00766EB8" w:rsidRPr="0001795E" w:rsidRDefault="00766EB8" w:rsidP="0001795E">
            <w:pPr>
              <w:pStyle w:val="ListParagraph"/>
              <w:numPr>
                <w:ilvl w:val="0"/>
                <w:numId w:val="1"/>
              </w:numPr>
              <w:ind w:left="142" w:firstLine="425"/>
              <w:rPr>
                <w:b/>
                <w:bCs/>
                <w:lang w:val="uk-UA"/>
              </w:rPr>
            </w:pPr>
            <w:r w:rsidRPr="006F1A0F">
              <w:rPr>
                <w:b/>
                <w:bCs/>
                <w:lang w:val="uk-UA"/>
              </w:rPr>
              <w:lastRenderedPageBreak/>
              <w:t xml:space="preserve">Дотримання відповідних вимог охорони здоров'я та техніки безпеки для захисту місцевої громади (у тому числі уразливих і неблагополучних груп), членів ПВСП, персоналу УФСІ,  а також персоналу </w:t>
            </w:r>
            <w:r w:rsidR="008F6F84" w:rsidRPr="006F1A0F">
              <w:rPr>
                <w:b/>
                <w:bCs/>
                <w:lang w:val="uk-UA"/>
              </w:rPr>
              <w:t xml:space="preserve">Підрядника </w:t>
            </w:r>
            <w:r w:rsidRPr="0001795E">
              <w:rPr>
                <w:b/>
                <w:bCs/>
                <w:lang w:val="uk-UA"/>
              </w:rPr>
              <w:t xml:space="preserve">, включаючи субпідрядників та поденних працівників. </w:t>
            </w:r>
          </w:p>
          <w:p w14:paraId="13D2BDB3" w14:textId="77777777" w:rsidR="00766EB8" w:rsidRPr="0001795E" w:rsidRDefault="00766EB8" w:rsidP="0001795E">
            <w:pPr>
              <w:ind w:left="142" w:firstLine="425"/>
              <w:rPr>
                <w:rFonts w:ascii="Times New Roman" w:hAnsi="Times New Roman" w:cs="Times New Roman"/>
                <w:lang w:val="uk-UA"/>
              </w:rPr>
            </w:pPr>
          </w:p>
        </w:tc>
      </w:tr>
      <w:tr w:rsidR="00766EB8" w:rsidRPr="0001795E" w14:paraId="52197669" w14:textId="77777777" w:rsidTr="00766EB8">
        <w:tc>
          <w:tcPr>
            <w:tcW w:w="9345" w:type="dxa"/>
            <w:gridSpan w:val="5"/>
          </w:tcPr>
          <w:p w14:paraId="00311019" w14:textId="39792843" w:rsidR="00766EB8" w:rsidRPr="0001795E" w:rsidRDefault="00766EB8" w:rsidP="0001795E">
            <w:pPr>
              <w:ind w:left="142" w:firstLine="425"/>
              <w:contextualSpacing/>
              <w:rPr>
                <w:rFonts w:ascii="Times New Roman" w:eastAsia="Times New Roman" w:hAnsi="Times New Roman" w:cs="Times New Roman"/>
                <w:sz w:val="24"/>
                <w:szCs w:val="24"/>
                <w:lang w:val="uk-UA"/>
              </w:rPr>
            </w:pPr>
            <w:r w:rsidRPr="006F1A0F">
              <w:rPr>
                <w:rFonts w:ascii="Times New Roman" w:eastAsia="Times New Roman" w:hAnsi="Times New Roman" w:cs="Times New Roman"/>
                <w:sz w:val="24"/>
                <w:szCs w:val="24"/>
                <w:lang w:val="uk-UA"/>
              </w:rPr>
              <w:t>Персонал</w:t>
            </w:r>
            <w:r w:rsidR="008F6F84" w:rsidRPr="006F1A0F">
              <w:rPr>
                <w:rFonts w:ascii="Times New Roman" w:eastAsia="Times New Roman" w:hAnsi="Times New Roman" w:cs="Times New Roman"/>
                <w:sz w:val="24"/>
                <w:szCs w:val="24"/>
                <w:lang w:val="uk-UA"/>
              </w:rPr>
              <w:t xml:space="preserve"> Підрядника</w:t>
            </w:r>
            <w:r w:rsidRPr="0001795E">
              <w:rPr>
                <w:rFonts w:ascii="Times New Roman" w:eastAsia="Times New Roman" w:hAnsi="Times New Roman" w:cs="Times New Roman"/>
                <w:sz w:val="24"/>
                <w:szCs w:val="24"/>
                <w:lang w:val="uk-UA"/>
              </w:rPr>
              <w:t>, включаючи субпідрядників та поденних працівників зобов’язується дотримуватись вимог законодавства, правил та нормативів, зокрема зазначених у п.1 Кодексу, щодо охорони здоров’я та техніки безпеки для захисту місцевої громади членів ПВСП, персоналу УФСІ.</w:t>
            </w:r>
          </w:p>
          <w:p w14:paraId="7543482D" w14:textId="4158443B" w:rsidR="00766EB8" w:rsidRPr="0001795E" w:rsidRDefault="00766EB8" w:rsidP="0001795E">
            <w:pPr>
              <w:ind w:left="142" w:firstLine="425"/>
              <w:contextualSpacing/>
              <w:rPr>
                <w:rFonts w:ascii="Times New Roman" w:eastAsia="Times New Roman" w:hAnsi="Times New Roman" w:cs="Times New Roman"/>
                <w:sz w:val="24"/>
                <w:szCs w:val="24"/>
                <w:lang w:val="uk-UA"/>
              </w:rPr>
            </w:pPr>
            <w:r w:rsidRPr="0001795E">
              <w:rPr>
                <w:rFonts w:ascii="Times New Roman" w:eastAsia="Times New Roman" w:hAnsi="Times New Roman" w:cs="Times New Roman"/>
                <w:sz w:val="24"/>
                <w:szCs w:val="24"/>
                <w:lang w:val="uk-UA"/>
              </w:rPr>
              <w:t xml:space="preserve">Персонал </w:t>
            </w:r>
            <w:r w:rsidR="008F6F84" w:rsidRPr="0001795E">
              <w:rPr>
                <w:rFonts w:ascii="Times New Roman" w:eastAsia="Times New Roman" w:hAnsi="Times New Roman" w:cs="Times New Roman"/>
                <w:sz w:val="24"/>
                <w:szCs w:val="24"/>
                <w:lang w:val="uk-UA"/>
              </w:rPr>
              <w:t xml:space="preserve">Підрядника </w:t>
            </w:r>
            <w:r w:rsidRPr="0001795E">
              <w:rPr>
                <w:rFonts w:ascii="Times New Roman" w:eastAsia="Times New Roman" w:hAnsi="Times New Roman" w:cs="Times New Roman"/>
                <w:sz w:val="24"/>
                <w:szCs w:val="24"/>
                <w:lang w:val="uk-UA"/>
              </w:rPr>
              <w:t xml:space="preserve">, включаючи субпідрядників та поденних працівників, зобов’язується дотримуватись вимог законодавства, правил та нормативів техніки безпеки, включаючи носіння та використання призначених засобів індивідуального захисту (зокрема, завжди носити шоломи, сигнальні жилети, при необхідності - маски та окуляри, ремені безпеки та захисні черевики), запобігати нещасним випадкам, яких можна уникнути, та обов'язково повідомляти про умови або дії, які порушують вимоги техніки безпеки або становлять загрозу здоров’ю та навколишньому середовищу. </w:t>
            </w:r>
          </w:p>
          <w:p w14:paraId="3134CFED" w14:textId="77777777" w:rsidR="00766EB8" w:rsidRPr="0001795E" w:rsidRDefault="00766EB8" w:rsidP="0001795E">
            <w:pPr>
              <w:ind w:left="142" w:firstLine="425"/>
              <w:rPr>
                <w:rFonts w:ascii="Times New Roman" w:hAnsi="Times New Roman" w:cs="Times New Roman"/>
                <w:lang w:val="uk-UA"/>
              </w:rPr>
            </w:pPr>
          </w:p>
        </w:tc>
      </w:tr>
      <w:tr w:rsidR="00766EB8" w:rsidRPr="0001795E" w14:paraId="1031A883" w14:textId="77777777" w:rsidTr="00766EB8">
        <w:tc>
          <w:tcPr>
            <w:tcW w:w="9345" w:type="dxa"/>
            <w:gridSpan w:val="5"/>
          </w:tcPr>
          <w:p w14:paraId="35E086A4" w14:textId="77777777" w:rsidR="009C682F" w:rsidRPr="006F1A0F" w:rsidRDefault="009C682F" w:rsidP="0001795E">
            <w:pPr>
              <w:pStyle w:val="ListParagraph"/>
              <w:numPr>
                <w:ilvl w:val="0"/>
                <w:numId w:val="1"/>
              </w:numPr>
              <w:ind w:left="142" w:firstLine="425"/>
              <w:rPr>
                <w:b/>
                <w:bCs/>
                <w:lang w:val="uk-UA"/>
              </w:rPr>
            </w:pPr>
            <w:r w:rsidRPr="006F1A0F">
              <w:rPr>
                <w:b/>
                <w:bCs/>
                <w:lang w:val="uk-UA"/>
              </w:rPr>
              <w:t>Використання незаконних речовин</w:t>
            </w:r>
          </w:p>
          <w:p w14:paraId="019A1C05" w14:textId="77777777" w:rsidR="00766EB8" w:rsidRPr="0001795E" w:rsidRDefault="00766EB8" w:rsidP="0001795E">
            <w:pPr>
              <w:ind w:left="142" w:firstLine="425"/>
              <w:rPr>
                <w:rFonts w:ascii="Times New Roman" w:hAnsi="Times New Roman" w:cs="Times New Roman"/>
              </w:rPr>
            </w:pPr>
          </w:p>
        </w:tc>
      </w:tr>
      <w:tr w:rsidR="00766EB8" w:rsidRPr="0001795E" w14:paraId="354D10BF" w14:textId="77777777" w:rsidTr="00766EB8">
        <w:tc>
          <w:tcPr>
            <w:tcW w:w="9345" w:type="dxa"/>
            <w:gridSpan w:val="5"/>
          </w:tcPr>
          <w:p w14:paraId="5C1A6203" w14:textId="77777777" w:rsidR="009C682F" w:rsidRPr="0001795E" w:rsidRDefault="009C682F" w:rsidP="0001795E">
            <w:pPr>
              <w:pStyle w:val="ListParagraph"/>
              <w:ind w:left="142" w:firstLine="425"/>
              <w:rPr>
                <w:lang w:val="uk-UA"/>
              </w:rPr>
            </w:pPr>
            <w:r w:rsidRPr="006F1A0F">
              <w:rPr>
                <w:lang w:val="uk-UA"/>
              </w:rPr>
              <w:t xml:space="preserve">Цей Кодекс, визначає правило нульової толерантності до зловживання </w:t>
            </w:r>
            <w:r w:rsidRPr="0001795E">
              <w:rPr>
                <w:lang w:val="uk-UA"/>
              </w:rPr>
              <w:t xml:space="preserve">(використання, зберігання, розповсюдження чи продажу) незаконних наркотиків, контрольованих речовин (відповідно до норм законодавства України ) та алкоголю. Зазначені речовини повністю заборонено на майданчику будівництва. </w:t>
            </w:r>
          </w:p>
          <w:p w14:paraId="7B2EE9CF" w14:textId="2C69097C" w:rsidR="009C682F" w:rsidRPr="0001795E" w:rsidRDefault="009C682F" w:rsidP="0001795E">
            <w:pPr>
              <w:pStyle w:val="ListParagraph"/>
              <w:ind w:left="142" w:firstLine="425"/>
              <w:rPr>
                <w:lang w:val="uk-UA"/>
              </w:rPr>
            </w:pPr>
            <w:r w:rsidRPr="0001795E">
              <w:rPr>
                <w:lang w:val="uk-UA"/>
              </w:rPr>
              <w:t>Будь-яка особа, яка підозрюється Відповідальним Представником Замовника будівництва у перебуванні під впливом алкоголю чи контрольованих речовин на будівельному майданчику, або поза майданчиком, у зоні Проектної діяльності, негайно відстороняється від посади керівником</w:t>
            </w:r>
            <w:r w:rsidR="00D80728" w:rsidRPr="0001795E">
              <w:rPr>
                <w:lang w:val="uk-UA"/>
              </w:rPr>
              <w:t xml:space="preserve"> Підрядника</w:t>
            </w:r>
            <w:r w:rsidRPr="0001795E">
              <w:rPr>
                <w:i/>
                <w:iCs/>
                <w:lang w:val="uk-UA"/>
              </w:rPr>
              <w:t xml:space="preserve"> </w:t>
            </w:r>
            <w:r w:rsidRPr="0001795E">
              <w:rPr>
                <w:lang w:val="uk-UA"/>
              </w:rPr>
              <w:t xml:space="preserve"> до очікування результатів медичних випробувань.</w:t>
            </w:r>
          </w:p>
          <w:p w14:paraId="51CCB51E" w14:textId="77777777" w:rsidR="00766EB8" w:rsidRPr="0001795E" w:rsidRDefault="00766EB8" w:rsidP="0001795E">
            <w:pPr>
              <w:ind w:left="142" w:firstLine="425"/>
              <w:rPr>
                <w:rFonts w:ascii="Times New Roman" w:hAnsi="Times New Roman" w:cs="Times New Roman"/>
                <w:lang w:val="uk-UA"/>
              </w:rPr>
            </w:pPr>
          </w:p>
        </w:tc>
      </w:tr>
      <w:tr w:rsidR="00766EB8" w:rsidRPr="0001795E" w14:paraId="4F5FA863" w14:textId="77777777" w:rsidTr="00766EB8">
        <w:tc>
          <w:tcPr>
            <w:tcW w:w="9345" w:type="dxa"/>
            <w:gridSpan w:val="5"/>
          </w:tcPr>
          <w:p w14:paraId="688848D9" w14:textId="77777777" w:rsidR="00766EB8" w:rsidRPr="006F1A0F" w:rsidRDefault="00216FAD" w:rsidP="0001795E">
            <w:pPr>
              <w:pStyle w:val="ListParagraph"/>
              <w:numPr>
                <w:ilvl w:val="0"/>
                <w:numId w:val="1"/>
              </w:numPr>
              <w:ind w:left="142" w:firstLine="425"/>
              <w:rPr>
                <w:b/>
                <w:bCs/>
                <w:lang w:val="uk-UA"/>
              </w:rPr>
            </w:pPr>
            <w:r w:rsidRPr="006F1A0F">
              <w:rPr>
                <w:b/>
                <w:bCs/>
                <w:lang w:val="uk-UA"/>
              </w:rPr>
              <w:t>Виключні вимоги щодо можливих порушень екологічної та соціальної безпеки:</w:t>
            </w:r>
          </w:p>
        </w:tc>
      </w:tr>
      <w:tr w:rsidR="00766EB8" w:rsidRPr="0001795E" w14:paraId="6BDA6790" w14:textId="77777777" w:rsidTr="00766EB8">
        <w:tc>
          <w:tcPr>
            <w:tcW w:w="9345" w:type="dxa"/>
            <w:gridSpan w:val="5"/>
          </w:tcPr>
          <w:p w14:paraId="23CBCBF6" w14:textId="77777777" w:rsidR="009C682F" w:rsidRPr="0001795E" w:rsidRDefault="009C682F" w:rsidP="0001795E">
            <w:pPr>
              <w:pStyle w:val="ListParagraph"/>
              <w:ind w:left="142" w:firstLine="425"/>
              <w:rPr>
                <w:lang w:val="uk-UA"/>
              </w:rPr>
            </w:pPr>
            <w:r w:rsidRPr="006F1A0F">
              <w:rPr>
                <w:lang w:val="uk-UA"/>
              </w:rPr>
              <w:t xml:space="preserve">порушень екологічної чутливості районів навколо майданчика будівництва, створення небезпеки розповсюдження захворювань, які передаються статевим шляхом та ВІЛ/СНІД та щодо гендерних питань, зокрема, сексуальних домагань, (наприклад, неприйнятна до використання мова або поведінка, зокрема, стосовно жінок та/або дітей, що є неприйнятним, </w:t>
            </w:r>
            <w:proofErr w:type="spellStart"/>
            <w:r w:rsidRPr="006F1A0F">
              <w:rPr>
                <w:lang w:val="uk-UA"/>
              </w:rPr>
              <w:t>турбуючим</w:t>
            </w:r>
            <w:proofErr w:type="spellEnd"/>
            <w:r w:rsidRPr="006F1A0F">
              <w:rPr>
                <w:lang w:val="uk-UA"/>
              </w:rPr>
              <w:t xml:space="preserve">, образливим, сексуально провокаційним, принизливим або культурно неприйнятним), насильства, включаючи сексуальне та/або </w:t>
            </w:r>
            <w:proofErr w:type="spellStart"/>
            <w:r w:rsidRPr="006F1A0F">
              <w:rPr>
                <w:lang w:val="uk-UA"/>
              </w:rPr>
              <w:t>гендерно</w:t>
            </w:r>
            <w:proofErr w:type="spellEnd"/>
            <w:r w:rsidRPr="006F1A0F">
              <w:rPr>
                <w:lang w:val="uk-UA"/>
              </w:rPr>
              <w:t xml:space="preserve">-мотивоване насильство (наприклад, дії, які завдають фізичної, психічної або сексуальної шкоди або страждання, загрози таких дій, примус та позбавлення волі), </w:t>
            </w:r>
            <w:r w:rsidRPr="006F1A0F">
              <w:rPr>
                <w:lang w:val="uk-UA"/>
              </w:rPr>
              <w:lastRenderedPageBreak/>
              <w:t>експлуатацію, включаючи сексуальну експлуатацію та зловживання (наприклад, зайнятість, товари або послуги за секс, включаючи сексуальні переваги або інші форми принизливої, принижуючої поведін</w:t>
            </w:r>
            <w:r w:rsidRPr="0001795E">
              <w:rPr>
                <w:lang w:val="uk-UA"/>
              </w:rPr>
              <w:t>ки або зловживання владою.</w:t>
            </w:r>
          </w:p>
          <w:p w14:paraId="5C5C68B8" w14:textId="77777777" w:rsidR="009C682F" w:rsidRPr="0001795E" w:rsidRDefault="009C682F" w:rsidP="0001795E">
            <w:pPr>
              <w:pStyle w:val="ListParagraph"/>
              <w:ind w:left="142" w:firstLine="425"/>
              <w:rPr>
                <w:lang w:val="uk-UA"/>
              </w:rPr>
            </w:pPr>
            <w:r w:rsidRPr="0001795E">
              <w:rPr>
                <w:lang w:val="uk-UA"/>
              </w:rPr>
              <w:t>Також є неприйнятними:</w:t>
            </w:r>
          </w:p>
          <w:p w14:paraId="602A3834" w14:textId="77777777" w:rsidR="009C682F" w:rsidRPr="0001795E" w:rsidRDefault="009C682F" w:rsidP="0001795E">
            <w:pPr>
              <w:pStyle w:val="ListParagraph"/>
              <w:ind w:left="142" w:firstLine="425"/>
              <w:rPr>
                <w:lang w:val="uk-UA"/>
              </w:rPr>
            </w:pPr>
            <w:r w:rsidRPr="0001795E">
              <w:rPr>
                <w:lang w:val="uk-UA"/>
              </w:rPr>
              <w:t>а) умисне заподіяння шкоди майну та інтересам інших людей або навколишньому середовищу;</w:t>
            </w:r>
          </w:p>
          <w:p w14:paraId="4EBB092B" w14:textId="77777777" w:rsidR="009C682F" w:rsidRPr="0001795E" w:rsidRDefault="009C682F" w:rsidP="0001795E">
            <w:pPr>
              <w:pStyle w:val="ListParagraph"/>
              <w:ind w:left="142" w:firstLine="425"/>
              <w:rPr>
                <w:lang w:val="uk-UA"/>
              </w:rPr>
            </w:pPr>
            <w:r w:rsidRPr="0001795E">
              <w:rPr>
                <w:lang w:val="uk-UA"/>
              </w:rPr>
              <w:t xml:space="preserve">б) неодноразова недбалість або необережність, що призводить до шкоди навколишньому середовищу, населенню чи власності, </w:t>
            </w:r>
          </w:p>
          <w:p w14:paraId="785B8E22" w14:textId="77777777" w:rsidR="009C682F" w:rsidRPr="0001795E" w:rsidRDefault="009C682F" w:rsidP="0001795E">
            <w:pPr>
              <w:pStyle w:val="ListParagraph"/>
              <w:ind w:left="142" w:firstLine="425"/>
              <w:rPr>
                <w:lang w:val="uk-UA"/>
              </w:rPr>
            </w:pPr>
            <w:r w:rsidRPr="0001795E">
              <w:rPr>
                <w:lang w:val="uk-UA"/>
              </w:rPr>
              <w:t>с) володіння та / або споживання м'яса чи будь-якої іншої частини зникаючої тварини чи рослини, як визначено у Вашингтонській конвенції (CITES) та національних нормах України.</w:t>
            </w:r>
          </w:p>
          <w:p w14:paraId="6B68B48C" w14:textId="549D923E" w:rsidR="009C682F" w:rsidRPr="0001795E" w:rsidRDefault="009C682F" w:rsidP="0001795E">
            <w:pPr>
              <w:pStyle w:val="ListParagraph"/>
              <w:ind w:left="142" w:firstLine="425"/>
              <w:rPr>
                <w:lang w:val="uk-UA"/>
              </w:rPr>
            </w:pPr>
            <w:r w:rsidRPr="0001795E">
              <w:rPr>
                <w:lang w:val="uk-UA"/>
              </w:rPr>
              <w:t>д) проникнення до приватних приміщень/будинків/земельних ділянок сусідніх мешканців без дозволу власників.</w:t>
            </w:r>
          </w:p>
          <w:p w14:paraId="2AE344FD" w14:textId="77777777" w:rsidR="00766EB8" w:rsidRPr="0001795E" w:rsidRDefault="00766EB8" w:rsidP="0001795E">
            <w:pPr>
              <w:ind w:left="142" w:firstLine="425"/>
              <w:rPr>
                <w:rFonts w:ascii="Times New Roman" w:hAnsi="Times New Roman" w:cs="Times New Roman"/>
                <w:lang w:val="uk-UA"/>
              </w:rPr>
            </w:pPr>
          </w:p>
        </w:tc>
      </w:tr>
      <w:tr w:rsidR="00766EB8" w:rsidRPr="0001795E" w14:paraId="5B9BFA64" w14:textId="77777777" w:rsidTr="00766EB8">
        <w:tc>
          <w:tcPr>
            <w:tcW w:w="9345" w:type="dxa"/>
            <w:gridSpan w:val="5"/>
          </w:tcPr>
          <w:p w14:paraId="34C3EE5B" w14:textId="3C003734" w:rsidR="00766EB8" w:rsidRPr="006F1A0F" w:rsidRDefault="009C682F" w:rsidP="0001795E">
            <w:pPr>
              <w:pStyle w:val="ListParagraph"/>
              <w:numPr>
                <w:ilvl w:val="0"/>
                <w:numId w:val="1"/>
              </w:numPr>
              <w:ind w:left="142" w:firstLine="425"/>
              <w:rPr>
                <w:b/>
                <w:bCs/>
              </w:rPr>
            </w:pPr>
            <w:proofErr w:type="spellStart"/>
            <w:r w:rsidRPr="006F1A0F">
              <w:rPr>
                <w:b/>
                <w:bCs/>
              </w:rPr>
              <w:lastRenderedPageBreak/>
              <w:t>Цей</w:t>
            </w:r>
            <w:proofErr w:type="spellEnd"/>
            <w:r w:rsidRPr="006F1A0F">
              <w:rPr>
                <w:b/>
                <w:bCs/>
              </w:rPr>
              <w:t xml:space="preserve"> </w:t>
            </w:r>
            <w:proofErr w:type="spellStart"/>
            <w:r w:rsidRPr="006F1A0F">
              <w:rPr>
                <w:b/>
                <w:bCs/>
              </w:rPr>
              <w:t>Кодекс</w:t>
            </w:r>
            <w:proofErr w:type="spellEnd"/>
            <w:r w:rsidRPr="006F1A0F">
              <w:rPr>
                <w:b/>
                <w:bCs/>
              </w:rPr>
              <w:t xml:space="preserve"> </w:t>
            </w:r>
            <w:proofErr w:type="spellStart"/>
            <w:r w:rsidRPr="006F1A0F">
              <w:rPr>
                <w:b/>
                <w:bCs/>
              </w:rPr>
              <w:t>декларує</w:t>
            </w:r>
            <w:proofErr w:type="spellEnd"/>
            <w:r w:rsidRPr="006F1A0F">
              <w:rPr>
                <w:b/>
                <w:bCs/>
              </w:rPr>
              <w:t>:</w:t>
            </w:r>
          </w:p>
        </w:tc>
      </w:tr>
      <w:tr w:rsidR="00766EB8" w:rsidRPr="0001795E" w14:paraId="18CFA0A9" w14:textId="77777777" w:rsidTr="00766EB8">
        <w:tc>
          <w:tcPr>
            <w:tcW w:w="9345" w:type="dxa"/>
            <w:gridSpan w:val="5"/>
          </w:tcPr>
          <w:p w14:paraId="09E1A64C" w14:textId="77777777" w:rsidR="009C682F" w:rsidRPr="006F1A0F" w:rsidRDefault="009C682F" w:rsidP="0001795E">
            <w:pPr>
              <w:pStyle w:val="ListParagraph"/>
              <w:spacing w:after="60" w:line="240" w:lineRule="atLeast"/>
              <w:ind w:left="142" w:firstLine="425"/>
              <w:jc w:val="both"/>
              <w:rPr>
                <w:lang w:val="uk-UA"/>
              </w:rPr>
            </w:pPr>
            <w:r w:rsidRPr="006F1A0F">
              <w:rPr>
                <w:lang w:val="uk-UA"/>
              </w:rPr>
              <w:t xml:space="preserve">а) відсутність дискримінації у стосунках з місцевою громадою (включаючи уразливі та неблагополучні групи), персоналом Замовника, а також персоналом Підрядника, включаючи субпідрядників та поденних працівників (наприклад, на основі сімейного статусу, етнічної приналежності, раси, статі, релігії, мови, сімейного стану, віку, інвалідності (фізична та психічна), сексуальної орієнтації, гендерної ідентичності, політичних переконань або соціального, громадянського статусу чи стану здоров'я); </w:t>
            </w:r>
          </w:p>
          <w:p w14:paraId="30B56E87" w14:textId="77777777" w:rsidR="009C682F" w:rsidRPr="0001795E" w:rsidRDefault="009C682F" w:rsidP="0001795E">
            <w:pPr>
              <w:pStyle w:val="ListParagraph"/>
              <w:spacing w:after="60" w:line="240" w:lineRule="atLeast"/>
              <w:ind w:left="142" w:firstLine="425"/>
              <w:jc w:val="both"/>
              <w:rPr>
                <w:lang w:val="uk-UA"/>
              </w:rPr>
            </w:pPr>
            <w:r w:rsidRPr="006F1A0F">
              <w:rPr>
                <w:lang w:val="uk-UA"/>
              </w:rPr>
              <w:t>б) повагу до переконань та звичаїв населення та взаємин у громадах взагалі (особливо, що стосується ризиків проституції та торгівлі людьми), повагу до їх культури, традицій, об’єктів власності, тварин, звичок поведі</w:t>
            </w:r>
            <w:r w:rsidRPr="0001795E">
              <w:rPr>
                <w:lang w:val="uk-UA"/>
              </w:rPr>
              <w:t>нки;</w:t>
            </w:r>
          </w:p>
          <w:p w14:paraId="3B5DFE5F" w14:textId="510B6BFE" w:rsidR="009C682F" w:rsidRPr="0001795E" w:rsidRDefault="009C682F" w:rsidP="0001795E">
            <w:pPr>
              <w:pStyle w:val="ListParagraph"/>
              <w:spacing w:after="60" w:line="240" w:lineRule="atLeast"/>
              <w:ind w:left="142" w:firstLine="425"/>
              <w:jc w:val="both"/>
              <w:rPr>
                <w:lang w:val="uk-UA"/>
              </w:rPr>
            </w:pPr>
            <w:r w:rsidRPr="0001795E">
              <w:rPr>
                <w:lang w:val="uk-UA"/>
              </w:rPr>
              <w:t xml:space="preserve">в) </w:t>
            </w:r>
            <w:bookmarkStart w:id="3" w:name="_Hlk25310364"/>
            <w:r w:rsidR="00D80728" w:rsidRPr="0001795E">
              <w:rPr>
                <w:lang w:val="uk-UA"/>
              </w:rPr>
              <w:t xml:space="preserve">Підрядника </w:t>
            </w:r>
            <w:r w:rsidRPr="0001795E">
              <w:rPr>
                <w:i/>
                <w:iCs/>
                <w:lang w:val="uk-UA"/>
              </w:rPr>
              <w:t xml:space="preserve"> </w:t>
            </w:r>
            <w:bookmarkEnd w:id="3"/>
            <w:r w:rsidRPr="0001795E">
              <w:rPr>
                <w:lang w:val="uk-UA"/>
              </w:rPr>
              <w:t>публічно інформує громаду щодо можливих впливів та ризиків, які можуть виникнути/виникають протягом будівництва.</w:t>
            </w:r>
          </w:p>
          <w:p w14:paraId="1FF44760" w14:textId="2C3B994F" w:rsidR="009C682F" w:rsidRPr="0001795E" w:rsidRDefault="009C682F" w:rsidP="0001795E">
            <w:pPr>
              <w:pStyle w:val="ListParagraph"/>
              <w:spacing w:after="60" w:line="240" w:lineRule="atLeast"/>
              <w:ind w:left="142" w:firstLine="425"/>
              <w:jc w:val="both"/>
              <w:rPr>
                <w:lang w:val="uk-UA"/>
              </w:rPr>
            </w:pPr>
            <w:r w:rsidRPr="0001795E">
              <w:rPr>
                <w:lang w:val="uk-UA"/>
              </w:rPr>
              <w:t xml:space="preserve">г) </w:t>
            </w:r>
            <w:r w:rsidR="00D80728" w:rsidRPr="0001795E">
              <w:rPr>
                <w:lang w:val="uk-UA"/>
              </w:rPr>
              <w:t xml:space="preserve">Підрядник </w:t>
            </w:r>
            <w:r w:rsidRPr="0001795E">
              <w:rPr>
                <w:i/>
                <w:iCs/>
                <w:lang w:val="uk-UA"/>
              </w:rPr>
              <w:t xml:space="preserve"> </w:t>
            </w:r>
            <w:r w:rsidRPr="0001795E">
              <w:rPr>
                <w:lang w:val="uk-UA"/>
              </w:rPr>
              <w:t>гарантує</w:t>
            </w:r>
            <w:r w:rsidRPr="0001795E">
              <w:rPr>
                <w:i/>
                <w:iCs/>
                <w:lang w:val="uk-UA"/>
              </w:rPr>
              <w:t xml:space="preserve"> </w:t>
            </w:r>
            <w:r w:rsidRPr="0001795E">
              <w:rPr>
                <w:lang w:val="uk-UA"/>
              </w:rPr>
              <w:t>захист дітей (у тому числі заборони на сексуальну діяльність або зловживання, або іншої неприйнятної поведінки щодо дітей, обмеження взаємодії з дітьми та забезпечення їхньої безпеки в районах діяльності</w:t>
            </w:r>
            <w:r w:rsidR="00D80728" w:rsidRPr="0001795E">
              <w:rPr>
                <w:lang w:val="uk-UA"/>
              </w:rPr>
              <w:t xml:space="preserve"> Підрядника</w:t>
            </w:r>
            <w:r w:rsidRPr="0001795E">
              <w:rPr>
                <w:lang w:val="uk-UA"/>
              </w:rPr>
              <w:t>, унеможливлення потрапляння дітей на будівельний майданчик). Термін "дитина" / "діти" означає будь-яку особу (осіб) у віці до 18 років.</w:t>
            </w:r>
          </w:p>
          <w:p w14:paraId="7962DE93" w14:textId="2295A696" w:rsidR="009C682F" w:rsidRPr="0001795E" w:rsidRDefault="009C682F" w:rsidP="0001795E">
            <w:pPr>
              <w:pStyle w:val="ListParagraph"/>
              <w:spacing w:after="60" w:line="240" w:lineRule="atLeast"/>
              <w:ind w:left="142" w:firstLine="425"/>
              <w:jc w:val="both"/>
              <w:rPr>
                <w:lang w:val="uk-UA"/>
              </w:rPr>
            </w:pPr>
            <w:r w:rsidRPr="0001795E">
              <w:rPr>
                <w:lang w:val="uk-UA"/>
              </w:rPr>
              <w:t>д) персонал Підрядника у своїй діяльності дотримується вимог щодо захисту та належного використання приміщень, майна, зокрема яке належить місцевій громаді або мешканцям які проживають поруч із майданчиком будівництва (включаючи заборону крадіжок, недбалого поводження/використання або пошкодження).</w:t>
            </w:r>
          </w:p>
          <w:p w14:paraId="6101B027" w14:textId="77777777" w:rsidR="00766EB8" w:rsidRPr="0001795E" w:rsidRDefault="00766EB8" w:rsidP="0001795E">
            <w:pPr>
              <w:ind w:left="142" w:firstLine="425"/>
              <w:rPr>
                <w:rFonts w:ascii="Times New Roman" w:hAnsi="Times New Roman" w:cs="Times New Roman"/>
                <w:lang w:val="uk-UA"/>
              </w:rPr>
            </w:pPr>
          </w:p>
        </w:tc>
      </w:tr>
      <w:tr w:rsidR="009C682F" w:rsidRPr="0001795E" w14:paraId="4400C86A" w14:textId="77777777" w:rsidTr="00AF73EE">
        <w:trPr>
          <w:trHeight w:val="595"/>
        </w:trPr>
        <w:tc>
          <w:tcPr>
            <w:tcW w:w="9345" w:type="dxa"/>
            <w:gridSpan w:val="5"/>
            <w:shd w:val="clear" w:color="auto" w:fill="auto"/>
          </w:tcPr>
          <w:p w14:paraId="70533AB9" w14:textId="4A6C09F2" w:rsidR="009C682F" w:rsidRPr="006F1A0F" w:rsidRDefault="009C682F" w:rsidP="0001795E">
            <w:pPr>
              <w:pStyle w:val="ListParagraph"/>
              <w:numPr>
                <w:ilvl w:val="0"/>
                <w:numId w:val="5"/>
              </w:numPr>
              <w:spacing w:after="60" w:line="240" w:lineRule="atLeast"/>
              <w:ind w:left="142" w:firstLine="425"/>
              <w:jc w:val="both"/>
              <w:rPr>
                <w:b/>
                <w:bCs/>
                <w:lang w:val="uk-UA"/>
              </w:rPr>
            </w:pPr>
            <w:r w:rsidRPr="006F1A0F">
              <w:rPr>
                <w:b/>
                <w:bCs/>
                <w:lang w:val="uk-UA"/>
              </w:rPr>
              <w:t>Забезпечення санітарних умов</w:t>
            </w:r>
            <w:r w:rsidR="00AF73EE" w:rsidRPr="006F1A0F">
              <w:rPr>
                <w:b/>
                <w:bCs/>
                <w:lang w:val="uk-UA"/>
              </w:rPr>
              <w:t xml:space="preserve"> та першої медичної допомоги </w:t>
            </w:r>
            <w:r w:rsidRPr="006F1A0F">
              <w:rPr>
                <w:b/>
                <w:bCs/>
                <w:lang w:val="uk-UA"/>
              </w:rPr>
              <w:t xml:space="preserve"> для персоналу</w:t>
            </w:r>
          </w:p>
        </w:tc>
      </w:tr>
      <w:tr w:rsidR="009C682F" w:rsidRPr="0001795E" w14:paraId="47001E95" w14:textId="77777777" w:rsidTr="00766EB8">
        <w:tc>
          <w:tcPr>
            <w:tcW w:w="9345" w:type="dxa"/>
            <w:gridSpan w:val="5"/>
          </w:tcPr>
          <w:p w14:paraId="6D155210" w14:textId="10AEE7B4" w:rsidR="009C682F" w:rsidRPr="0001795E" w:rsidRDefault="00D80728" w:rsidP="0001795E">
            <w:pPr>
              <w:pStyle w:val="ListParagraph"/>
              <w:spacing w:after="60" w:line="240" w:lineRule="atLeast"/>
              <w:ind w:left="142" w:firstLine="425"/>
              <w:jc w:val="both"/>
              <w:rPr>
                <w:lang w:val="uk-UA"/>
              </w:rPr>
            </w:pPr>
            <w:r w:rsidRPr="006F1A0F">
              <w:rPr>
                <w:lang w:val="uk-UA"/>
              </w:rPr>
              <w:t xml:space="preserve">Підрядник </w:t>
            </w:r>
            <w:r w:rsidR="009C682F" w:rsidRPr="0001795E">
              <w:rPr>
                <w:lang w:val="uk-UA"/>
              </w:rPr>
              <w:t>забезпечує належні санітарні умови для персонал</w:t>
            </w:r>
            <w:r w:rsidR="001463D8" w:rsidRPr="0001795E">
              <w:rPr>
                <w:lang w:val="uk-UA"/>
              </w:rPr>
              <w:t>у</w:t>
            </w:r>
            <w:r w:rsidR="002D0A8F" w:rsidRPr="0001795E">
              <w:rPr>
                <w:lang w:val="uk-UA"/>
              </w:rPr>
              <w:t>, щонайменше</w:t>
            </w:r>
            <w:r w:rsidR="009C682F" w:rsidRPr="0001795E">
              <w:rPr>
                <w:lang w:val="uk-UA"/>
              </w:rPr>
              <w:t>: питну воду якість якої та кількість відповідають санітарним вимогам України; туалетами виходячи із норми не менше один туалет на 15 працівників. Туалети будуть зручно розташовані,  матимуть достатню вентиляцію, будуть добре освітлені та матимуть належні можливості та засоби для миття рук.</w:t>
            </w:r>
          </w:p>
          <w:p w14:paraId="65FA1B8F" w14:textId="4896B5B9" w:rsidR="009C682F" w:rsidRPr="0001795E" w:rsidRDefault="00D80728" w:rsidP="0001795E">
            <w:pPr>
              <w:pStyle w:val="ListParagraph"/>
              <w:spacing w:after="60" w:line="240" w:lineRule="atLeast"/>
              <w:ind w:left="142" w:firstLine="425"/>
              <w:jc w:val="both"/>
              <w:rPr>
                <w:highlight w:val="yellow"/>
                <w:lang w:val="uk-UA"/>
              </w:rPr>
            </w:pPr>
            <w:r w:rsidRPr="0001795E">
              <w:rPr>
                <w:lang w:val="uk-UA"/>
              </w:rPr>
              <w:t xml:space="preserve">Підрядник </w:t>
            </w:r>
            <w:r w:rsidR="002D3431" w:rsidRPr="0001795E">
              <w:rPr>
                <w:lang w:val="uk-UA"/>
              </w:rPr>
              <w:t xml:space="preserve">забезпечує </w:t>
            </w:r>
            <w:r w:rsidR="00EF0819" w:rsidRPr="0001795E">
              <w:rPr>
                <w:lang w:val="uk-UA"/>
              </w:rPr>
              <w:t>щонайменше</w:t>
            </w:r>
            <w:r w:rsidR="00FB2E31" w:rsidRPr="0001795E">
              <w:rPr>
                <w:lang w:val="uk-UA"/>
              </w:rPr>
              <w:t xml:space="preserve"> </w:t>
            </w:r>
            <w:r w:rsidR="00D226AD" w:rsidRPr="0001795E">
              <w:rPr>
                <w:lang w:val="uk-UA"/>
              </w:rPr>
              <w:t>належну кількість комплектів для надання першої допомоги;</w:t>
            </w:r>
            <w:r w:rsidR="00DC30EA" w:rsidRPr="0001795E">
              <w:rPr>
                <w:lang w:val="uk-UA"/>
              </w:rPr>
              <w:t xml:space="preserve"> та облаштовує будівельний майданчик </w:t>
            </w:r>
            <w:r w:rsidR="0010730D" w:rsidRPr="0001795E">
              <w:rPr>
                <w:lang w:val="uk-UA"/>
              </w:rPr>
              <w:t>системою зв</w:t>
            </w:r>
            <w:r w:rsidRPr="0001795E">
              <w:rPr>
                <w:lang w:val="uk-UA"/>
              </w:rPr>
              <w:t>’</w:t>
            </w:r>
            <w:r w:rsidR="0010730D" w:rsidRPr="0001795E">
              <w:rPr>
                <w:lang w:val="uk-UA"/>
              </w:rPr>
              <w:t>язку для комунікацій із службами надання першої медичної допомоги</w:t>
            </w:r>
            <w:r w:rsidR="002970DE" w:rsidRPr="0001795E">
              <w:rPr>
                <w:lang w:val="uk-UA"/>
              </w:rPr>
              <w:t xml:space="preserve">. Інформація про те, як </w:t>
            </w:r>
            <w:r w:rsidR="00EF0819" w:rsidRPr="0001795E">
              <w:rPr>
                <w:lang w:val="uk-UA"/>
              </w:rPr>
              <w:t>зв’язатись</w:t>
            </w:r>
            <w:r w:rsidR="002F1D87" w:rsidRPr="0001795E">
              <w:rPr>
                <w:lang w:val="uk-UA"/>
              </w:rPr>
              <w:t xml:space="preserve"> із службами надання першої медичної допомоги</w:t>
            </w:r>
            <w:r w:rsidR="000C3AAE" w:rsidRPr="0001795E">
              <w:rPr>
                <w:lang w:val="uk-UA"/>
              </w:rPr>
              <w:t xml:space="preserve"> чітко зазначається </w:t>
            </w:r>
            <w:r w:rsidR="00EF0819" w:rsidRPr="0001795E">
              <w:rPr>
                <w:lang w:val="uk-UA"/>
              </w:rPr>
              <w:t>на будівельному майданчику.</w:t>
            </w:r>
          </w:p>
        </w:tc>
      </w:tr>
      <w:tr w:rsidR="009C682F" w:rsidRPr="0001795E" w14:paraId="650A981A" w14:textId="77777777" w:rsidTr="00766EB8">
        <w:tc>
          <w:tcPr>
            <w:tcW w:w="9345" w:type="dxa"/>
            <w:gridSpan w:val="5"/>
          </w:tcPr>
          <w:p w14:paraId="6AA2079A" w14:textId="77777777" w:rsidR="009C682F" w:rsidRPr="006F1A0F" w:rsidRDefault="009C682F" w:rsidP="0001795E">
            <w:pPr>
              <w:pStyle w:val="ListParagraph"/>
              <w:numPr>
                <w:ilvl w:val="0"/>
                <w:numId w:val="5"/>
              </w:numPr>
              <w:spacing w:after="60" w:line="240" w:lineRule="atLeast"/>
              <w:ind w:left="142" w:firstLine="425"/>
              <w:jc w:val="both"/>
              <w:rPr>
                <w:b/>
                <w:bCs/>
                <w:lang w:val="uk-UA"/>
              </w:rPr>
            </w:pPr>
            <w:r w:rsidRPr="006F1A0F">
              <w:rPr>
                <w:b/>
                <w:bCs/>
                <w:lang w:val="uk-UA"/>
              </w:rPr>
              <w:t>Етичні вимоги</w:t>
            </w:r>
          </w:p>
        </w:tc>
      </w:tr>
      <w:tr w:rsidR="009C682F" w:rsidRPr="0001795E" w14:paraId="5A049448" w14:textId="77777777" w:rsidTr="00766EB8">
        <w:tc>
          <w:tcPr>
            <w:tcW w:w="9345" w:type="dxa"/>
            <w:gridSpan w:val="5"/>
          </w:tcPr>
          <w:p w14:paraId="0029ADFE" w14:textId="701AC839" w:rsidR="009C682F" w:rsidRPr="0001795E" w:rsidRDefault="009C682F" w:rsidP="0001795E">
            <w:pPr>
              <w:pStyle w:val="ListParagraph"/>
              <w:spacing w:after="60" w:line="240" w:lineRule="atLeast"/>
              <w:ind w:left="142" w:firstLine="425"/>
              <w:jc w:val="both"/>
              <w:rPr>
                <w:highlight w:val="yellow"/>
                <w:lang w:val="uk-UA"/>
              </w:rPr>
            </w:pPr>
            <w:r w:rsidRPr="006F1A0F">
              <w:rPr>
                <w:lang w:val="uk-UA"/>
              </w:rPr>
              <w:t>У своїй діяльності персонал</w:t>
            </w:r>
            <w:r w:rsidR="00D80728" w:rsidRPr="006F1A0F">
              <w:rPr>
                <w:lang w:val="uk-UA"/>
              </w:rPr>
              <w:t xml:space="preserve"> Підрядника</w:t>
            </w:r>
            <w:r w:rsidRPr="006F1A0F">
              <w:rPr>
                <w:lang w:val="uk-UA"/>
              </w:rPr>
              <w:t xml:space="preserve"> </w:t>
            </w:r>
            <w:r w:rsidRPr="0001795E">
              <w:rPr>
                <w:lang w:val="uk-UA"/>
              </w:rPr>
              <w:t xml:space="preserve">дотримується етичних норм, зокрема уникнення конфліктів інтересів (так, щоб переваги, договори або робота, або будь-яке </w:t>
            </w:r>
            <w:r w:rsidRPr="0001795E">
              <w:rPr>
                <w:lang w:val="uk-UA"/>
              </w:rPr>
              <w:lastRenderedPageBreak/>
              <w:t>преференційне ставлення або послуги не надавалися будь-якій особі, з якою є фінансові, сімейні чи особисті зв'язки)</w:t>
            </w:r>
            <w:r w:rsidR="006F1A0F">
              <w:rPr>
                <w:lang w:val="uk-UA"/>
              </w:rPr>
              <w:t>.</w:t>
            </w:r>
          </w:p>
        </w:tc>
      </w:tr>
      <w:tr w:rsidR="009C682F" w:rsidRPr="0001795E" w14:paraId="7158B05D" w14:textId="77777777" w:rsidTr="000732BF">
        <w:tc>
          <w:tcPr>
            <w:tcW w:w="9345" w:type="dxa"/>
            <w:gridSpan w:val="5"/>
            <w:shd w:val="clear" w:color="auto" w:fill="auto"/>
          </w:tcPr>
          <w:p w14:paraId="7CB97209" w14:textId="26872DE5" w:rsidR="009C682F" w:rsidRPr="0001795E" w:rsidRDefault="00A62F9A" w:rsidP="0001795E">
            <w:pPr>
              <w:pStyle w:val="ListParagraph"/>
              <w:numPr>
                <w:ilvl w:val="0"/>
                <w:numId w:val="5"/>
              </w:numPr>
              <w:spacing w:after="60" w:line="240" w:lineRule="atLeast"/>
              <w:ind w:left="142" w:firstLine="425"/>
              <w:jc w:val="both"/>
              <w:rPr>
                <w:b/>
                <w:bCs/>
                <w:lang w:val="uk-UA"/>
              </w:rPr>
            </w:pPr>
            <w:r w:rsidRPr="006F1A0F">
              <w:rPr>
                <w:b/>
                <w:bCs/>
                <w:lang w:val="uk-UA"/>
              </w:rPr>
              <w:lastRenderedPageBreak/>
              <w:t xml:space="preserve">Керівні Інструкції/документи з охорони навколишнього </w:t>
            </w:r>
            <w:r w:rsidR="000953B0" w:rsidRPr="006F1A0F">
              <w:rPr>
                <w:b/>
                <w:bCs/>
                <w:lang w:val="uk-UA"/>
              </w:rPr>
              <w:t>середовища</w:t>
            </w:r>
            <w:r w:rsidRPr="006F1A0F">
              <w:rPr>
                <w:b/>
                <w:bCs/>
                <w:lang w:val="uk-UA"/>
              </w:rPr>
              <w:t xml:space="preserve"> та</w:t>
            </w:r>
            <w:r w:rsidR="000953B0" w:rsidRPr="006F1A0F">
              <w:rPr>
                <w:b/>
                <w:bCs/>
                <w:lang w:val="uk-UA"/>
              </w:rPr>
              <w:t xml:space="preserve"> здоров’я, </w:t>
            </w:r>
            <w:r w:rsidRPr="0001795E">
              <w:rPr>
                <w:b/>
                <w:bCs/>
                <w:lang w:val="uk-UA"/>
              </w:rPr>
              <w:t>соціальної безпеки</w:t>
            </w:r>
            <w:r w:rsidR="000953B0" w:rsidRPr="0001795E">
              <w:rPr>
                <w:b/>
                <w:bCs/>
                <w:lang w:val="uk-UA"/>
              </w:rPr>
              <w:t>,</w:t>
            </w:r>
            <w:r w:rsidRPr="0001795E">
              <w:rPr>
                <w:b/>
                <w:bCs/>
                <w:lang w:val="uk-UA"/>
              </w:rPr>
              <w:t xml:space="preserve"> </w:t>
            </w:r>
            <w:r w:rsidR="000953B0" w:rsidRPr="0001795E">
              <w:rPr>
                <w:b/>
                <w:bCs/>
                <w:lang w:val="uk-UA"/>
              </w:rPr>
              <w:t>охорони праці та пожежної безпеки</w:t>
            </w:r>
          </w:p>
        </w:tc>
      </w:tr>
      <w:tr w:rsidR="009C682F" w:rsidRPr="0001795E" w14:paraId="38F9E1D6" w14:textId="77777777" w:rsidTr="00766EB8">
        <w:tc>
          <w:tcPr>
            <w:tcW w:w="9345" w:type="dxa"/>
            <w:gridSpan w:val="5"/>
          </w:tcPr>
          <w:p w14:paraId="7272CB9B" w14:textId="1934B402" w:rsidR="009C682F" w:rsidRPr="0001795E" w:rsidRDefault="000953B0" w:rsidP="0001795E">
            <w:pPr>
              <w:pStyle w:val="ListParagraph"/>
              <w:spacing w:after="60" w:line="240" w:lineRule="atLeast"/>
              <w:ind w:left="142" w:firstLine="425"/>
              <w:jc w:val="both"/>
              <w:rPr>
                <w:highlight w:val="yellow"/>
                <w:lang w:val="uk-UA"/>
              </w:rPr>
            </w:pPr>
            <w:r w:rsidRPr="006F1A0F">
              <w:rPr>
                <w:lang w:val="uk-UA"/>
              </w:rPr>
              <w:t>У своїй діяльності персонал</w:t>
            </w:r>
            <w:r w:rsidR="00D80728" w:rsidRPr="006F1A0F">
              <w:rPr>
                <w:lang w:val="uk-UA"/>
              </w:rPr>
              <w:t xml:space="preserve"> Підрядника</w:t>
            </w:r>
            <w:r w:rsidRPr="006F1A0F">
              <w:rPr>
                <w:lang w:val="uk-UA"/>
              </w:rPr>
              <w:t xml:space="preserve"> </w:t>
            </w:r>
            <w:r w:rsidRPr="0001795E">
              <w:rPr>
                <w:lang w:val="uk-UA"/>
              </w:rPr>
              <w:t>дотримується положень, які передбачені Планом екологічного та соціального менеджменту</w:t>
            </w:r>
            <w:r w:rsidR="00D80728" w:rsidRPr="0001795E">
              <w:rPr>
                <w:lang w:val="uk-UA"/>
              </w:rPr>
              <w:t xml:space="preserve"> Підрядника</w:t>
            </w:r>
            <w:r w:rsidRPr="0001795E">
              <w:rPr>
                <w:lang w:val="uk-UA"/>
              </w:rPr>
              <w:t xml:space="preserve">, інструкцій з охорони праці та пожежної безпеки та керується вимогами </w:t>
            </w:r>
            <w:proofErr w:type="spellStart"/>
            <w:r w:rsidRPr="0001795E">
              <w:rPr>
                <w:lang w:val="uk-UA"/>
              </w:rPr>
              <w:t>вимогами</w:t>
            </w:r>
            <w:proofErr w:type="spellEnd"/>
            <w:r w:rsidRPr="0001795E">
              <w:rPr>
                <w:lang w:val="uk-UA"/>
              </w:rPr>
              <w:t xml:space="preserve"> Наказу №1050 </w:t>
            </w:r>
            <w:proofErr w:type="spellStart"/>
            <w:r w:rsidRPr="0001795E">
              <w:rPr>
                <w:lang w:val="uk-UA"/>
              </w:rPr>
              <w:t>Мінсоцполітики</w:t>
            </w:r>
            <w:proofErr w:type="spellEnd"/>
            <w:r w:rsidRPr="0001795E">
              <w:rPr>
                <w:lang w:val="uk-UA"/>
              </w:rPr>
              <w:t xml:space="preserve"> від 23.06.2017 «Про затвердження Мінімальних вимог з охорони праці на тимчасових або мобільних будівельних майданчиках (включно із призначенням Координатора з питань охорони праці на стадії будівництва).</w:t>
            </w:r>
          </w:p>
        </w:tc>
      </w:tr>
      <w:tr w:rsidR="009C682F" w:rsidRPr="0001795E" w14:paraId="38245627" w14:textId="77777777" w:rsidTr="00766EB8">
        <w:tc>
          <w:tcPr>
            <w:tcW w:w="9345" w:type="dxa"/>
            <w:gridSpan w:val="5"/>
          </w:tcPr>
          <w:p w14:paraId="65599134" w14:textId="77777777" w:rsidR="009C682F" w:rsidRPr="006F1A0F" w:rsidRDefault="000953B0" w:rsidP="0001795E">
            <w:pPr>
              <w:pStyle w:val="ListParagraph"/>
              <w:numPr>
                <w:ilvl w:val="0"/>
                <w:numId w:val="5"/>
              </w:numPr>
              <w:spacing w:after="60" w:line="240" w:lineRule="atLeast"/>
              <w:ind w:left="142" w:firstLine="425"/>
              <w:jc w:val="both"/>
              <w:rPr>
                <w:b/>
                <w:bCs/>
                <w:lang w:val="uk-UA"/>
              </w:rPr>
            </w:pPr>
            <w:r w:rsidRPr="006F1A0F">
              <w:rPr>
                <w:b/>
                <w:bCs/>
                <w:lang w:val="uk-UA"/>
              </w:rPr>
              <w:t xml:space="preserve"> Інформування про порушення цього Кодексу</w:t>
            </w:r>
          </w:p>
        </w:tc>
      </w:tr>
      <w:tr w:rsidR="009C682F" w:rsidRPr="0001795E" w14:paraId="32746838" w14:textId="77777777" w:rsidTr="00766EB8">
        <w:tc>
          <w:tcPr>
            <w:tcW w:w="9345" w:type="dxa"/>
            <w:gridSpan w:val="5"/>
          </w:tcPr>
          <w:p w14:paraId="466F2F3F" w14:textId="0D9E26B7" w:rsidR="009C682F" w:rsidRPr="0001795E" w:rsidRDefault="000953B0" w:rsidP="0001795E">
            <w:pPr>
              <w:pStyle w:val="ListParagraph"/>
              <w:spacing w:after="60" w:line="240" w:lineRule="atLeast"/>
              <w:ind w:left="142" w:firstLine="425"/>
              <w:jc w:val="both"/>
              <w:rPr>
                <w:highlight w:val="yellow"/>
                <w:lang w:val="uk-UA"/>
              </w:rPr>
            </w:pPr>
            <w:r w:rsidRPr="006F1A0F">
              <w:rPr>
                <w:lang w:val="uk-UA"/>
              </w:rPr>
              <w:t>Персонал</w:t>
            </w:r>
            <w:r w:rsidR="00D80728" w:rsidRPr="006F1A0F">
              <w:rPr>
                <w:lang w:val="uk-UA"/>
              </w:rPr>
              <w:t xml:space="preserve"> Підрядника</w:t>
            </w:r>
            <w:r w:rsidRPr="006F1A0F">
              <w:rPr>
                <w:lang w:val="uk-UA"/>
              </w:rPr>
              <w:t xml:space="preserve"> </w:t>
            </w:r>
            <w:r w:rsidRPr="0001795E">
              <w:rPr>
                <w:lang w:val="uk-UA"/>
              </w:rPr>
              <w:t>вважає своїм обов’язком завчасно повідомляти керівництву</w:t>
            </w:r>
            <w:r w:rsidR="00D80728" w:rsidRPr="0001795E">
              <w:rPr>
                <w:lang w:val="uk-UA"/>
              </w:rPr>
              <w:t xml:space="preserve"> Підрядника</w:t>
            </w:r>
            <w:r w:rsidRPr="0001795E">
              <w:rPr>
                <w:lang w:val="uk-UA"/>
              </w:rPr>
              <w:t xml:space="preserve"> , Замовнику будівництва, представникам місцевої громади, вповноваженим державним органам щодо порушень цього Кодексу. Працівники</w:t>
            </w:r>
            <w:r w:rsidR="00D80728" w:rsidRPr="0001795E">
              <w:rPr>
                <w:lang w:val="uk-UA"/>
              </w:rPr>
              <w:t xml:space="preserve"> Підрядника</w:t>
            </w:r>
            <w:r w:rsidRPr="0001795E">
              <w:rPr>
                <w:lang w:val="uk-UA"/>
              </w:rPr>
              <w:t>, які повідомляють про такі порушення, не нестимуть жодного покарання, якщо таке повідомлення зроблене щиро.</w:t>
            </w:r>
          </w:p>
        </w:tc>
      </w:tr>
      <w:tr w:rsidR="000953B0" w:rsidRPr="0001795E" w14:paraId="3AAC5E9B" w14:textId="77777777" w:rsidTr="00766EB8">
        <w:tc>
          <w:tcPr>
            <w:tcW w:w="9345" w:type="dxa"/>
            <w:gridSpan w:val="5"/>
          </w:tcPr>
          <w:p w14:paraId="36CEE823" w14:textId="77777777" w:rsidR="000953B0" w:rsidRPr="006F1A0F" w:rsidRDefault="000953B0" w:rsidP="0001795E">
            <w:pPr>
              <w:pStyle w:val="ListParagraph"/>
              <w:numPr>
                <w:ilvl w:val="0"/>
                <w:numId w:val="5"/>
              </w:numPr>
              <w:spacing w:after="60" w:line="240" w:lineRule="atLeast"/>
              <w:ind w:left="142" w:firstLine="425"/>
              <w:jc w:val="both"/>
              <w:rPr>
                <w:b/>
                <w:bCs/>
                <w:lang w:val="uk-UA"/>
              </w:rPr>
            </w:pPr>
            <w:r w:rsidRPr="006F1A0F">
              <w:rPr>
                <w:b/>
                <w:bCs/>
                <w:lang w:val="uk-UA"/>
              </w:rPr>
              <w:t>Де можна знайти копію цього Кодексу</w:t>
            </w:r>
          </w:p>
        </w:tc>
      </w:tr>
      <w:tr w:rsidR="000953B0" w:rsidRPr="0001795E" w14:paraId="0E43E91B" w14:textId="77777777" w:rsidTr="00766EB8">
        <w:tc>
          <w:tcPr>
            <w:tcW w:w="9345" w:type="dxa"/>
            <w:gridSpan w:val="5"/>
          </w:tcPr>
          <w:p w14:paraId="47407135" w14:textId="3D264867" w:rsidR="000953B0" w:rsidRPr="0001795E" w:rsidRDefault="000953B0" w:rsidP="0001795E">
            <w:pPr>
              <w:pStyle w:val="ListParagraph"/>
              <w:spacing w:after="60" w:line="240" w:lineRule="atLeast"/>
              <w:ind w:left="142" w:firstLine="425"/>
              <w:jc w:val="both"/>
              <w:rPr>
                <w:lang w:val="uk-UA"/>
              </w:rPr>
            </w:pPr>
            <w:r w:rsidRPr="006F1A0F">
              <w:rPr>
                <w:lang w:val="uk-UA"/>
              </w:rPr>
              <w:t>Копію цього Кодексу</w:t>
            </w:r>
            <w:r w:rsidR="00D80728" w:rsidRPr="006F1A0F">
              <w:rPr>
                <w:lang w:val="uk-UA"/>
              </w:rPr>
              <w:t xml:space="preserve"> Підрядника</w:t>
            </w:r>
            <w:r w:rsidRPr="0001795E">
              <w:rPr>
                <w:lang w:val="uk-UA"/>
              </w:rPr>
              <w:t xml:space="preserve"> завжди  можна знайти у доступному для місцевої громади та будь-яких інших осіб місці, біля будівельного майданчика. Копія цього Кодексу надається персоналу</w:t>
            </w:r>
            <w:r w:rsidR="004603AB" w:rsidRPr="0001795E">
              <w:rPr>
                <w:lang w:val="uk-UA"/>
              </w:rPr>
              <w:t xml:space="preserve"> Підрядника</w:t>
            </w:r>
            <w:r w:rsidR="004603AB" w:rsidRPr="0001795E">
              <w:rPr>
                <w:i/>
                <w:iCs/>
                <w:lang w:val="uk-UA"/>
              </w:rPr>
              <w:t>,</w:t>
            </w:r>
            <w:r w:rsidRPr="0001795E">
              <w:rPr>
                <w:lang w:val="uk-UA"/>
              </w:rPr>
              <w:t xml:space="preserve"> Замовнику будівництва та будь-яким постраждалим особам. </w:t>
            </w:r>
          </w:p>
        </w:tc>
      </w:tr>
      <w:tr w:rsidR="000953B0" w:rsidRPr="0001795E" w14:paraId="1D6D4D33" w14:textId="77777777" w:rsidTr="00766EB8">
        <w:tc>
          <w:tcPr>
            <w:tcW w:w="9345" w:type="dxa"/>
            <w:gridSpan w:val="5"/>
          </w:tcPr>
          <w:p w14:paraId="5E527C09" w14:textId="24670E4A" w:rsidR="000953B0" w:rsidRPr="0001795E" w:rsidRDefault="000953B0" w:rsidP="0001795E">
            <w:pPr>
              <w:pStyle w:val="ListParagraph"/>
              <w:numPr>
                <w:ilvl w:val="0"/>
                <w:numId w:val="5"/>
              </w:numPr>
              <w:spacing w:after="60" w:line="240" w:lineRule="atLeast"/>
              <w:ind w:left="142" w:firstLine="425"/>
              <w:jc w:val="both"/>
              <w:rPr>
                <w:b/>
                <w:bCs/>
                <w:lang w:val="uk-UA"/>
              </w:rPr>
            </w:pPr>
            <w:r w:rsidRPr="006F1A0F">
              <w:rPr>
                <w:b/>
                <w:bCs/>
                <w:lang w:val="uk-UA"/>
              </w:rPr>
              <w:t xml:space="preserve">Підписи </w:t>
            </w:r>
            <w:r w:rsidR="00BE7772" w:rsidRPr="006F1A0F">
              <w:rPr>
                <w:b/>
                <w:bCs/>
                <w:lang w:val="uk-UA"/>
              </w:rPr>
              <w:t xml:space="preserve">ключового </w:t>
            </w:r>
            <w:r w:rsidRPr="006F1A0F">
              <w:rPr>
                <w:b/>
                <w:bCs/>
                <w:lang w:val="uk-UA"/>
              </w:rPr>
              <w:t>персоналу</w:t>
            </w:r>
            <w:r w:rsidR="004603AB" w:rsidRPr="006F1A0F">
              <w:rPr>
                <w:b/>
                <w:bCs/>
                <w:lang w:val="uk-UA"/>
              </w:rPr>
              <w:t xml:space="preserve"> </w:t>
            </w:r>
            <w:r w:rsidR="004603AB" w:rsidRPr="006F1A0F">
              <w:rPr>
                <w:lang w:val="uk-UA"/>
              </w:rPr>
              <w:t>Підрядника</w:t>
            </w:r>
            <w:r w:rsidRPr="0001795E">
              <w:rPr>
                <w:b/>
                <w:bCs/>
                <w:lang w:val="uk-UA"/>
              </w:rPr>
              <w:t xml:space="preserve">  </w:t>
            </w:r>
          </w:p>
        </w:tc>
      </w:tr>
      <w:tr w:rsidR="000953B0" w:rsidRPr="0001795E" w14:paraId="02BC3D45" w14:textId="77777777" w:rsidTr="00766EB8">
        <w:tc>
          <w:tcPr>
            <w:tcW w:w="9345" w:type="dxa"/>
            <w:gridSpan w:val="5"/>
          </w:tcPr>
          <w:p w14:paraId="35CC894E" w14:textId="0C66B8D2" w:rsidR="000953B0" w:rsidRPr="0001795E" w:rsidRDefault="00BE7772" w:rsidP="0001795E">
            <w:pPr>
              <w:pStyle w:val="ListParagraph"/>
              <w:spacing w:after="60" w:line="240" w:lineRule="atLeast"/>
              <w:ind w:left="142" w:firstLine="425"/>
              <w:jc w:val="both"/>
              <w:rPr>
                <w:lang w:val="uk-UA"/>
              </w:rPr>
            </w:pPr>
            <w:proofErr w:type="spellStart"/>
            <w:r w:rsidRPr="006F1A0F">
              <w:rPr>
                <w:lang w:val="ru-RU"/>
              </w:rPr>
              <w:t>Ключовий</w:t>
            </w:r>
            <w:proofErr w:type="spellEnd"/>
            <w:r w:rsidRPr="006F1A0F">
              <w:rPr>
                <w:lang w:val="ru-RU"/>
              </w:rPr>
              <w:t xml:space="preserve"> </w:t>
            </w:r>
            <w:r w:rsidRPr="006F1A0F">
              <w:rPr>
                <w:lang w:val="uk-UA"/>
              </w:rPr>
              <w:t>п</w:t>
            </w:r>
            <w:r w:rsidR="000953B0" w:rsidRPr="0001795E">
              <w:rPr>
                <w:lang w:val="uk-UA"/>
              </w:rPr>
              <w:t>ерсонал</w:t>
            </w:r>
            <w:r w:rsidR="004603AB" w:rsidRPr="0001795E">
              <w:rPr>
                <w:lang w:val="uk-UA"/>
              </w:rPr>
              <w:t xml:space="preserve"> Підрядника</w:t>
            </w:r>
            <w:r w:rsidR="000953B0" w:rsidRPr="0001795E">
              <w:rPr>
                <w:lang w:val="uk-UA"/>
              </w:rPr>
              <w:t xml:space="preserve"> своїми нижченаведеними особистими підписами підтверджує, що він/вона отримав/ла копію Кодексу, що зміст Кодексу йому/їй пояснений і зрозумілий, що він/вона визнає, що дотримання цього Кодексу є умовою зайнятості (здійснення трудових відносин із</w:t>
            </w:r>
            <w:r w:rsidR="004603AB" w:rsidRPr="0001795E">
              <w:rPr>
                <w:lang w:val="uk-UA"/>
              </w:rPr>
              <w:t xml:space="preserve"> Підрядником</w:t>
            </w:r>
            <w:r w:rsidR="000953B0" w:rsidRPr="0001795E">
              <w:rPr>
                <w:lang w:val="uk-UA"/>
              </w:rPr>
              <w:t xml:space="preserve">) і розуміє, що порушення Кодексу може спричинити за собою серйозні наслідки, </w:t>
            </w:r>
            <w:proofErr w:type="gramStart"/>
            <w:r w:rsidR="000953B0" w:rsidRPr="0001795E">
              <w:rPr>
                <w:lang w:val="uk-UA"/>
              </w:rPr>
              <w:t>аж</w:t>
            </w:r>
            <w:proofErr w:type="gramEnd"/>
            <w:r w:rsidR="000953B0" w:rsidRPr="0001795E">
              <w:rPr>
                <w:lang w:val="uk-UA"/>
              </w:rPr>
              <w:t xml:space="preserve"> до/включно звільнення, або направлення заяви до відповідних державних органів:</w:t>
            </w:r>
          </w:p>
        </w:tc>
      </w:tr>
      <w:tr w:rsidR="00216FAD" w:rsidRPr="0001795E" w14:paraId="2E1A673B" w14:textId="77777777" w:rsidTr="00216FAD">
        <w:tc>
          <w:tcPr>
            <w:tcW w:w="846" w:type="dxa"/>
          </w:tcPr>
          <w:p w14:paraId="0A8741EF" w14:textId="77777777" w:rsidR="00216FAD" w:rsidRPr="006F1A0F" w:rsidRDefault="00216FAD" w:rsidP="0001795E">
            <w:pPr>
              <w:spacing w:after="60" w:line="240" w:lineRule="atLeast"/>
              <w:ind w:left="142" w:firstLine="425"/>
              <w:jc w:val="both"/>
              <w:rPr>
                <w:rFonts w:ascii="Times New Roman" w:hAnsi="Times New Roman" w:cs="Times New Roman"/>
                <w:b/>
                <w:bCs/>
                <w:lang w:val="uk-UA"/>
              </w:rPr>
            </w:pPr>
            <w:r w:rsidRPr="006F1A0F">
              <w:rPr>
                <w:rFonts w:ascii="Times New Roman" w:hAnsi="Times New Roman" w:cs="Times New Roman"/>
                <w:b/>
                <w:bCs/>
                <w:lang w:val="uk-UA"/>
              </w:rPr>
              <w:t xml:space="preserve">№ </w:t>
            </w:r>
            <w:proofErr w:type="spellStart"/>
            <w:r w:rsidRPr="006F1A0F">
              <w:rPr>
                <w:rFonts w:ascii="Times New Roman" w:hAnsi="Times New Roman" w:cs="Times New Roman"/>
                <w:b/>
                <w:bCs/>
                <w:lang w:val="uk-UA"/>
              </w:rPr>
              <w:t>п.п</w:t>
            </w:r>
            <w:proofErr w:type="spellEnd"/>
            <w:r w:rsidRPr="006F1A0F">
              <w:rPr>
                <w:rFonts w:ascii="Times New Roman" w:hAnsi="Times New Roman" w:cs="Times New Roman"/>
                <w:b/>
                <w:bCs/>
                <w:lang w:val="uk-UA"/>
              </w:rPr>
              <w:t>.</w:t>
            </w:r>
          </w:p>
        </w:tc>
        <w:tc>
          <w:tcPr>
            <w:tcW w:w="3544" w:type="dxa"/>
          </w:tcPr>
          <w:p w14:paraId="01F91458" w14:textId="77777777" w:rsidR="00216FAD" w:rsidRPr="0001795E" w:rsidRDefault="00216FAD" w:rsidP="0001795E">
            <w:pPr>
              <w:spacing w:after="60" w:line="240" w:lineRule="atLeast"/>
              <w:ind w:left="142" w:firstLine="425"/>
              <w:jc w:val="both"/>
              <w:rPr>
                <w:rFonts w:ascii="Times New Roman" w:hAnsi="Times New Roman" w:cs="Times New Roman"/>
                <w:b/>
                <w:bCs/>
                <w:lang w:val="uk-UA"/>
              </w:rPr>
            </w:pPr>
            <w:r w:rsidRPr="006F1A0F">
              <w:rPr>
                <w:rFonts w:ascii="Times New Roman" w:hAnsi="Times New Roman" w:cs="Times New Roman"/>
                <w:b/>
                <w:bCs/>
                <w:lang w:val="uk-UA"/>
              </w:rPr>
              <w:t xml:space="preserve">Прізвище, ім’я та по-батькові працівника </w:t>
            </w:r>
            <w:r w:rsidRPr="006F1A0F">
              <w:rPr>
                <w:rFonts w:ascii="Times New Roman" w:hAnsi="Times New Roman" w:cs="Times New Roman"/>
                <w:b/>
                <w:bCs/>
                <w:i/>
                <w:iCs/>
                <w:lang w:val="uk-UA"/>
              </w:rPr>
              <w:t>(Назва Підрядника)</w:t>
            </w:r>
          </w:p>
        </w:tc>
        <w:tc>
          <w:tcPr>
            <w:tcW w:w="2126" w:type="dxa"/>
          </w:tcPr>
          <w:p w14:paraId="4B8E2603" w14:textId="77777777" w:rsidR="00216FAD" w:rsidRPr="0001795E" w:rsidRDefault="00216FAD" w:rsidP="0001795E">
            <w:pPr>
              <w:spacing w:after="60" w:line="240" w:lineRule="atLeast"/>
              <w:ind w:left="142" w:firstLine="425"/>
              <w:jc w:val="both"/>
              <w:rPr>
                <w:rFonts w:ascii="Times New Roman" w:hAnsi="Times New Roman" w:cs="Times New Roman"/>
                <w:b/>
                <w:bCs/>
                <w:lang w:val="uk-UA"/>
              </w:rPr>
            </w:pPr>
            <w:r w:rsidRPr="0001795E">
              <w:rPr>
                <w:rFonts w:ascii="Times New Roman" w:hAnsi="Times New Roman" w:cs="Times New Roman"/>
                <w:b/>
                <w:bCs/>
                <w:lang w:val="uk-UA"/>
              </w:rPr>
              <w:t>Посада</w:t>
            </w:r>
          </w:p>
        </w:tc>
        <w:tc>
          <w:tcPr>
            <w:tcW w:w="1458" w:type="dxa"/>
          </w:tcPr>
          <w:p w14:paraId="27551890" w14:textId="77777777" w:rsidR="00216FAD" w:rsidRPr="0001795E" w:rsidRDefault="00216FAD" w:rsidP="0001795E">
            <w:pPr>
              <w:spacing w:after="60" w:line="240" w:lineRule="atLeast"/>
              <w:ind w:left="142" w:firstLine="425"/>
              <w:jc w:val="both"/>
              <w:rPr>
                <w:rFonts w:ascii="Times New Roman" w:hAnsi="Times New Roman" w:cs="Times New Roman"/>
                <w:b/>
                <w:bCs/>
                <w:lang w:val="uk-UA"/>
              </w:rPr>
            </w:pPr>
            <w:r w:rsidRPr="0001795E">
              <w:rPr>
                <w:rFonts w:ascii="Times New Roman" w:hAnsi="Times New Roman" w:cs="Times New Roman"/>
                <w:b/>
                <w:bCs/>
                <w:lang w:val="uk-UA"/>
              </w:rPr>
              <w:t>Підпис</w:t>
            </w:r>
          </w:p>
        </w:tc>
        <w:tc>
          <w:tcPr>
            <w:tcW w:w="1371" w:type="dxa"/>
          </w:tcPr>
          <w:p w14:paraId="069C1D3D" w14:textId="77777777" w:rsidR="00216FAD" w:rsidRPr="0001795E" w:rsidRDefault="00216FAD" w:rsidP="0001795E">
            <w:pPr>
              <w:spacing w:after="60" w:line="240" w:lineRule="atLeast"/>
              <w:ind w:left="142" w:firstLine="425"/>
              <w:jc w:val="both"/>
              <w:rPr>
                <w:rFonts w:ascii="Times New Roman" w:hAnsi="Times New Roman" w:cs="Times New Roman"/>
                <w:b/>
                <w:bCs/>
                <w:lang w:val="uk-UA"/>
              </w:rPr>
            </w:pPr>
            <w:r w:rsidRPr="0001795E">
              <w:rPr>
                <w:rFonts w:ascii="Times New Roman" w:hAnsi="Times New Roman" w:cs="Times New Roman"/>
                <w:b/>
                <w:bCs/>
                <w:lang w:val="uk-UA"/>
              </w:rPr>
              <w:t>Дата підписання</w:t>
            </w:r>
          </w:p>
        </w:tc>
      </w:tr>
      <w:tr w:rsidR="00216FAD" w:rsidRPr="0001795E" w14:paraId="02BBF5C3" w14:textId="77777777" w:rsidTr="00216FAD">
        <w:tc>
          <w:tcPr>
            <w:tcW w:w="846" w:type="dxa"/>
          </w:tcPr>
          <w:p w14:paraId="45F71382"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32B42A3C"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44C508A1"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55E8D13E"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5FB01FAC"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11737F9A" w14:textId="77777777" w:rsidTr="00216FAD">
        <w:tc>
          <w:tcPr>
            <w:tcW w:w="846" w:type="dxa"/>
          </w:tcPr>
          <w:p w14:paraId="7FCFD902"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63C51125"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1A2FAD1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3210B788"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465DA443"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50F1DDEB" w14:textId="77777777" w:rsidTr="00216FAD">
        <w:tc>
          <w:tcPr>
            <w:tcW w:w="846" w:type="dxa"/>
          </w:tcPr>
          <w:p w14:paraId="16F2E195"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7EC4D22A"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5FBF8892"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51E737D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2E56BF33"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7AACC330" w14:textId="77777777" w:rsidTr="00216FAD">
        <w:tc>
          <w:tcPr>
            <w:tcW w:w="846" w:type="dxa"/>
          </w:tcPr>
          <w:p w14:paraId="69DB6AC4"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219BDEB6"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73BBA91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01536B78"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784E9B67"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2644B628" w14:textId="77777777" w:rsidTr="00216FAD">
        <w:tc>
          <w:tcPr>
            <w:tcW w:w="846" w:type="dxa"/>
          </w:tcPr>
          <w:p w14:paraId="50C90F15"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4C548234"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6113DC1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51EFE222"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7AC30286"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03B36C42" w14:textId="77777777" w:rsidTr="00216FAD">
        <w:tc>
          <w:tcPr>
            <w:tcW w:w="846" w:type="dxa"/>
          </w:tcPr>
          <w:p w14:paraId="350CF087"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4C743645"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2152DCFF"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02F4D3A5"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05680C7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r w:rsidR="00216FAD" w:rsidRPr="0001795E" w14:paraId="27C84347" w14:textId="77777777" w:rsidTr="00216FAD">
        <w:tc>
          <w:tcPr>
            <w:tcW w:w="846" w:type="dxa"/>
          </w:tcPr>
          <w:p w14:paraId="154CD279"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3544" w:type="dxa"/>
          </w:tcPr>
          <w:p w14:paraId="3F332083"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2126" w:type="dxa"/>
          </w:tcPr>
          <w:p w14:paraId="27730926"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458" w:type="dxa"/>
          </w:tcPr>
          <w:p w14:paraId="0332BC31"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c>
          <w:tcPr>
            <w:tcW w:w="1371" w:type="dxa"/>
          </w:tcPr>
          <w:p w14:paraId="4C6A5EEB" w14:textId="77777777" w:rsidR="00216FAD" w:rsidRPr="0001795E" w:rsidRDefault="00216FAD" w:rsidP="0001795E">
            <w:pPr>
              <w:spacing w:after="60" w:line="240" w:lineRule="atLeast"/>
              <w:ind w:left="142" w:firstLine="425"/>
              <w:jc w:val="both"/>
              <w:rPr>
                <w:rFonts w:ascii="Times New Roman" w:hAnsi="Times New Roman" w:cs="Times New Roman"/>
                <w:lang w:val="uk-UA"/>
              </w:rPr>
            </w:pPr>
          </w:p>
        </w:tc>
      </w:tr>
    </w:tbl>
    <w:p w14:paraId="48C9C678" w14:textId="77777777" w:rsidR="00766EB8" w:rsidRPr="0001795E" w:rsidRDefault="00766EB8" w:rsidP="0001795E">
      <w:pPr>
        <w:ind w:left="142" w:firstLine="425"/>
        <w:rPr>
          <w:rFonts w:ascii="Times New Roman" w:hAnsi="Times New Roman" w:cs="Times New Roman"/>
        </w:rPr>
      </w:pPr>
    </w:p>
    <w:sectPr w:rsidR="00766EB8" w:rsidRPr="0001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1AC"/>
    <w:multiLevelType w:val="hybridMultilevel"/>
    <w:tmpl w:val="AE5699E4"/>
    <w:lvl w:ilvl="0" w:tplc="2C2C0DC8">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D503E"/>
    <w:multiLevelType w:val="hybridMultilevel"/>
    <w:tmpl w:val="19A8BF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81FDC"/>
    <w:multiLevelType w:val="hybridMultilevel"/>
    <w:tmpl w:val="2884B1BE"/>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25338C"/>
    <w:multiLevelType w:val="hybridMultilevel"/>
    <w:tmpl w:val="2884B1BE"/>
    <w:lvl w:ilvl="0" w:tplc="2000000F">
      <w:start w:val="1"/>
      <w:numFmt w:val="decimal"/>
      <w:lvlText w:val="%1."/>
      <w:lvlJc w:val="left"/>
      <w:pPr>
        <w:ind w:left="78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0C3B49"/>
    <w:multiLevelType w:val="hybridMultilevel"/>
    <w:tmpl w:val="471694C2"/>
    <w:lvl w:ilvl="0" w:tplc="2000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1CC316DF"/>
    <w:multiLevelType w:val="hybridMultilevel"/>
    <w:tmpl w:val="5BE03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ED3675"/>
    <w:multiLevelType w:val="hybridMultilevel"/>
    <w:tmpl w:val="BEC04000"/>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D11D6"/>
    <w:multiLevelType w:val="hybridMultilevel"/>
    <w:tmpl w:val="79B6A5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66D0C16"/>
    <w:multiLevelType w:val="hybridMultilevel"/>
    <w:tmpl w:val="F6129A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F21383"/>
    <w:multiLevelType w:val="hybridMultilevel"/>
    <w:tmpl w:val="91FE2570"/>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809F2"/>
    <w:multiLevelType w:val="hybridMultilevel"/>
    <w:tmpl w:val="33A225AE"/>
    <w:lvl w:ilvl="0" w:tplc="EEE45452">
      <w:start w:val="6"/>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1" w15:restartNumberingAfterBreak="0">
    <w:nsid w:val="4F5C35C2"/>
    <w:multiLevelType w:val="hybridMultilevel"/>
    <w:tmpl w:val="0DA03636"/>
    <w:lvl w:ilvl="0" w:tplc="2000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B6EF4"/>
    <w:multiLevelType w:val="hybridMultilevel"/>
    <w:tmpl w:val="C81A3246"/>
    <w:lvl w:ilvl="0" w:tplc="2000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CEC2648"/>
    <w:multiLevelType w:val="hybridMultilevel"/>
    <w:tmpl w:val="E53A6BAA"/>
    <w:lvl w:ilvl="0" w:tplc="E25455E6">
      <w:start w:val="7"/>
      <w:numFmt w:val="decimal"/>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4" w15:restartNumberingAfterBreak="0">
    <w:nsid w:val="5EF34E3C"/>
    <w:multiLevelType w:val="hybridMultilevel"/>
    <w:tmpl w:val="48C4E09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A11C2"/>
    <w:multiLevelType w:val="hybridMultilevel"/>
    <w:tmpl w:val="8DB6039E"/>
    <w:lvl w:ilvl="0" w:tplc="2000000F">
      <w:start w:val="1"/>
      <w:numFmt w:val="decimal"/>
      <w:lvlText w:val="%1."/>
      <w:lvlJc w:val="left"/>
      <w:pPr>
        <w:ind w:left="786" w:hanging="360"/>
      </w:pPr>
      <w:rPr>
        <w:rFonts w:hint="default"/>
      </w:rPr>
    </w:lvl>
    <w:lvl w:ilvl="1" w:tplc="2C2C0DC8">
      <w:numFmt w:val="bullet"/>
      <w:lvlText w:val="-"/>
      <w:lvlJc w:val="left"/>
      <w:pPr>
        <w:ind w:left="1440" w:hanging="360"/>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10"/>
  </w:num>
  <w:num w:numId="5">
    <w:abstractNumId w:val="13"/>
  </w:num>
  <w:num w:numId="6">
    <w:abstractNumId w:val="1"/>
  </w:num>
  <w:num w:numId="7">
    <w:abstractNumId w:val="15"/>
  </w:num>
  <w:num w:numId="8">
    <w:abstractNumId w:val="7"/>
  </w:num>
  <w:num w:numId="9">
    <w:abstractNumId w:val="8"/>
  </w:num>
  <w:num w:numId="10">
    <w:abstractNumId w:val="12"/>
  </w:num>
  <w:num w:numId="11">
    <w:abstractNumId w:val="14"/>
  </w:num>
  <w:num w:numId="12">
    <w:abstractNumId w:val="11"/>
  </w:num>
  <w:num w:numId="13">
    <w:abstractNumId w:val="6"/>
  </w:num>
  <w:num w:numId="14">
    <w:abstractNumId w:val="9"/>
  </w:num>
  <w:num w:numId="15">
    <w:abstractNumId w:val="4"/>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LKwNLewtDAyNDdU0lEKTi0uzszPAykwqgUAAU/cFSwAAAA="/>
  </w:docVars>
  <w:rsids>
    <w:rsidRoot w:val="00766EB8"/>
    <w:rsid w:val="000169C5"/>
    <w:rsid w:val="0001795E"/>
    <w:rsid w:val="000732BF"/>
    <w:rsid w:val="000940A8"/>
    <w:rsid w:val="000953B0"/>
    <w:rsid w:val="000C3AAE"/>
    <w:rsid w:val="000F354A"/>
    <w:rsid w:val="0010730D"/>
    <w:rsid w:val="001463D8"/>
    <w:rsid w:val="00216FAD"/>
    <w:rsid w:val="002970DE"/>
    <w:rsid w:val="002A329D"/>
    <w:rsid w:val="002D0A8F"/>
    <w:rsid w:val="002D3431"/>
    <w:rsid w:val="002F1D87"/>
    <w:rsid w:val="004603AB"/>
    <w:rsid w:val="004617CE"/>
    <w:rsid w:val="0047478E"/>
    <w:rsid w:val="00563A44"/>
    <w:rsid w:val="00566637"/>
    <w:rsid w:val="005939AC"/>
    <w:rsid w:val="00631912"/>
    <w:rsid w:val="006A4FEB"/>
    <w:rsid w:val="006F1A0F"/>
    <w:rsid w:val="00713724"/>
    <w:rsid w:val="00766EB8"/>
    <w:rsid w:val="008F6F84"/>
    <w:rsid w:val="009B10A9"/>
    <w:rsid w:val="009C682F"/>
    <w:rsid w:val="00A62F9A"/>
    <w:rsid w:val="00AA210F"/>
    <w:rsid w:val="00AC7458"/>
    <w:rsid w:val="00AF73EE"/>
    <w:rsid w:val="00B72895"/>
    <w:rsid w:val="00BE7772"/>
    <w:rsid w:val="00C66EAA"/>
    <w:rsid w:val="00D226AD"/>
    <w:rsid w:val="00D237E7"/>
    <w:rsid w:val="00D67B65"/>
    <w:rsid w:val="00D80728"/>
    <w:rsid w:val="00DC30EA"/>
    <w:rsid w:val="00DF63DA"/>
    <w:rsid w:val="00E109CB"/>
    <w:rsid w:val="00E25BED"/>
    <w:rsid w:val="00E70730"/>
    <w:rsid w:val="00EF0819"/>
    <w:rsid w:val="00F36234"/>
    <w:rsid w:val="00F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1E06"/>
  <w15:chartTrackingRefBased/>
  <w15:docId w15:val="{78EBBDB0-29E2-470D-B275-2CD1C570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766EB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766E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D27D32EFF27D4B845B8BBAC6527F62" ma:contentTypeVersion="11" ma:contentTypeDescription="Create a new document." ma:contentTypeScope="" ma:versionID="3004b7d2ad455a4cfbfcce31f645f988">
  <xsd:schema xmlns:xsd="http://www.w3.org/2001/XMLSchema" xmlns:xs="http://www.w3.org/2001/XMLSchema" xmlns:p="http://schemas.microsoft.com/office/2006/metadata/properties" xmlns:ns3="d70e476f-1f6b-4112-821f-d5332bd6de95" xmlns:ns4="b79006f4-a7bd-4c11-bba0-fb4110bfdfc6" targetNamespace="http://schemas.microsoft.com/office/2006/metadata/properties" ma:root="true" ma:fieldsID="26937bd7f59d37a907e9d5b9faec3ce4" ns3:_="" ns4:_="">
    <xsd:import namespace="d70e476f-1f6b-4112-821f-d5332bd6de95"/>
    <xsd:import namespace="b79006f4-a7bd-4c11-bba0-fb4110bfdf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476f-1f6b-4112-821f-d5332bd6d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006f4-a7bd-4c11-bba0-fb4110bfdf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F748-CE44-4211-85B5-8BC32F110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803D9-F0EB-44EE-810F-4A9A186C3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476f-1f6b-4112-821f-d5332bd6de95"/>
    <ds:schemaRef ds:uri="b79006f4-a7bd-4c11-bba0-fb4110bfd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58C99-FF9C-4FDF-83CC-548130BF872B}">
  <ds:schemaRefs>
    <ds:schemaRef ds:uri="http://schemas.microsoft.com/sharepoint/v3/contenttype/forms"/>
  </ds:schemaRefs>
</ds:datastoreItem>
</file>

<file path=customXml/itemProps4.xml><?xml version="1.0" encoding="utf-8"?>
<ds:datastoreItem xmlns:ds="http://schemas.openxmlformats.org/officeDocument/2006/customXml" ds:itemID="{4814BF9E-8E68-414C-BABF-3E93287D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2471</Words>
  <Characters>14085</Characters>
  <DocSecurity>0</DocSecurity>
  <Lines>117</Lines>
  <Paragraphs>33</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2021-04-22T06:31:00Z</dcterms:created>
  <dcterms:modified xsi:type="dcterms:W3CDTF">2021-04-22T06:31:00Z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0x010100D1D27D32EFF27D4B845B8BBAC6527F62</vt:lpwstr>
  </property>
</Properties>
</file>